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7B1885" w:rsidP="00071E41">
            <w:pPr>
              <w:rPr>
                <w:b/>
                <w:sz w:val="26"/>
                <w:szCs w:val="26"/>
              </w:rPr>
            </w:pPr>
            <w:r w:rsidRPr="007B1885">
              <w:rPr>
                <w:b/>
                <w:sz w:val="26"/>
                <w:szCs w:val="26"/>
              </w:rPr>
              <w:t>2. Conception d’un système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7B1885" w:rsidP="00071E41">
            <w:r>
              <w:t>D</w:t>
            </w:r>
            <w:r w:rsidRPr="007B1885">
              <w:t>éfinir tout ou partie des fonctions assurées par une chaîne d’énergie et le système de gestion associé, anticiper ou vérifier leurs comportements par simulation.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7B1885" w:rsidP="00071E41">
            <w:r w:rsidRPr="007B1885">
              <w:t>2.1 Approche fonctionnelle d’une chaîne d’énergie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026191" w:rsidP="00071E41">
            <w:r w:rsidRPr="00026191">
              <w:t>Schéma de transfert d’énergie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071E41">
            <w:r>
              <w:t>Première 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C3D7F" w:rsidRPr="005F6D16" w:rsidRDefault="00026191" w:rsidP="00071E41">
            <w:pPr>
              <w:rPr>
                <w:i/>
              </w:rPr>
            </w:pPr>
            <w:r w:rsidRPr="00026191">
              <w:rPr>
                <w:i/>
              </w:rPr>
              <w:t>L’importance du schéma de transfert d’énergie est mise en évidence dans le cadre de l’optimisation énergétique.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p w:rsidR="00163783" w:rsidRDefault="00163783" w:rsidP="00163783">
      <w:pPr>
        <w:rPr>
          <w:b/>
          <w:u w:val="single"/>
        </w:rPr>
      </w:pPr>
      <w:r w:rsidRPr="00E368A7">
        <w:rPr>
          <w:b/>
          <w:u w:val="single"/>
        </w:rPr>
        <w:t>Pré requis :</w:t>
      </w:r>
    </w:p>
    <w:p w:rsidR="00163783" w:rsidRPr="00E368A7" w:rsidRDefault="00163783" w:rsidP="00163783">
      <w:pPr>
        <w:rPr>
          <w:b/>
          <w:u w:val="single"/>
        </w:rPr>
      </w:pPr>
    </w:p>
    <w:p w:rsidR="00163783" w:rsidRPr="00AC1B5E" w:rsidRDefault="00163783" w:rsidP="00163783">
      <w:pPr>
        <w:rPr>
          <w:i/>
        </w:rPr>
      </w:pPr>
      <w:r>
        <w:t>TC 2 1 1 5 (Organisation fonctionnelle d’une chaîne d’énergie)</w:t>
      </w:r>
    </w:p>
    <w:p w:rsidR="00163783" w:rsidRDefault="00163783" w:rsidP="00163783">
      <w:r>
        <w:t>TC 2.2.2.1 (Représentation symboliques)</w:t>
      </w:r>
    </w:p>
    <w:p w:rsidR="00163783" w:rsidRDefault="00163783" w:rsidP="00163783">
      <w:pPr>
        <w:rPr>
          <w:b/>
          <w:u w:val="single"/>
        </w:rPr>
      </w:pPr>
      <w:r>
        <w:t xml:space="preserve">TC </w:t>
      </w:r>
      <w:r w:rsidRPr="00711E95">
        <w:t xml:space="preserve">2.3.5 </w:t>
      </w:r>
      <w:r>
        <w:t xml:space="preserve"> (</w:t>
      </w:r>
      <w:r w:rsidRPr="00711E95">
        <w:t>Comportement énergétique des systèmes</w:t>
      </w:r>
      <w:r>
        <w:t>)</w:t>
      </w:r>
    </w:p>
    <w:p w:rsidR="00163783" w:rsidRDefault="00163783" w:rsidP="00163783">
      <w:r w:rsidRPr="00163783">
        <w:t>EE 2 1 1</w:t>
      </w:r>
      <w:r w:rsidR="007E1735">
        <w:t xml:space="preserve"> </w:t>
      </w:r>
    </w:p>
    <w:p w:rsidR="005029BA" w:rsidRPr="00163783" w:rsidRDefault="005029BA" w:rsidP="00163783">
      <w:bookmarkStart w:id="0" w:name="_GoBack"/>
      <w:bookmarkEnd w:id="0"/>
    </w:p>
    <w:p w:rsidR="00163783" w:rsidRDefault="00163783" w:rsidP="00163783">
      <w:pPr>
        <w:rPr>
          <w:b/>
          <w:u w:val="single"/>
        </w:rPr>
      </w:pPr>
      <w:r>
        <w:rPr>
          <w:b/>
          <w:u w:val="single"/>
        </w:rPr>
        <w:t>Ce que l’on attend de l’élève :</w:t>
      </w:r>
    </w:p>
    <w:p w:rsidR="005029BA" w:rsidRDefault="005029BA" w:rsidP="00163783">
      <w:pPr>
        <w:rPr>
          <w:b/>
          <w:u w:val="single"/>
        </w:rPr>
      </w:pPr>
    </w:p>
    <w:p w:rsidR="00163783" w:rsidRPr="00D9782F" w:rsidRDefault="00163783" w:rsidP="00163783">
      <w:r w:rsidRPr="00D9782F">
        <w:t xml:space="preserve">Représenter sur un </w:t>
      </w:r>
      <w:r w:rsidR="007105EE">
        <w:t xml:space="preserve">diagramme de </w:t>
      </w:r>
      <w:proofErr w:type="spellStart"/>
      <w:r w:rsidR="007105EE">
        <w:t>Sankey</w:t>
      </w:r>
      <w:proofErr w:type="spellEnd"/>
      <w:r w:rsidR="007105EE">
        <w:t xml:space="preserve"> </w:t>
      </w:r>
      <w:r w:rsidR="001B4EC6">
        <w:t xml:space="preserve">ou un diagramme de flux </w:t>
      </w:r>
      <w:r w:rsidR="007105EE">
        <w:t>les transferts d’énergie.</w:t>
      </w:r>
    </w:p>
    <w:p w:rsidR="00163783" w:rsidRPr="007105EE" w:rsidRDefault="007105EE" w:rsidP="00163783">
      <w:r w:rsidRPr="007105EE">
        <w:t>Mettre en évidence les pertes et transformation</w:t>
      </w:r>
      <w:r w:rsidR="001B4EC6">
        <w:t>s/modulations</w:t>
      </w:r>
      <w:r w:rsidRPr="007105EE">
        <w:t xml:space="preserve"> de l’énergie</w:t>
      </w:r>
      <w:r w:rsidR="001B4EC6">
        <w:t xml:space="preserve"> (diagramme de </w:t>
      </w:r>
      <w:proofErr w:type="spellStart"/>
      <w:r w:rsidR="001B4EC6">
        <w:t>Sankey</w:t>
      </w:r>
      <w:proofErr w:type="spellEnd"/>
      <w:r w:rsidR="001B4EC6">
        <w:t>)</w:t>
      </w:r>
    </w:p>
    <w:p w:rsidR="007105EE" w:rsidRDefault="001B4EC6" w:rsidP="00163783">
      <w:r w:rsidRPr="001B4EC6">
        <w:t>Proposer des modifications du système étudié afin d’améliorer son efficacité énergétique</w:t>
      </w:r>
      <w:r>
        <w:t>.</w:t>
      </w:r>
    </w:p>
    <w:p w:rsidR="001B4EC6" w:rsidRPr="001B4EC6" w:rsidRDefault="001B4EC6" w:rsidP="00163783"/>
    <w:p w:rsidR="007105EE" w:rsidRDefault="001B4EC6" w:rsidP="00163783">
      <w:r w:rsidRPr="0041244A">
        <w:rPr>
          <w:b/>
          <w:u w:val="single"/>
        </w:rPr>
        <w:t>Supports et scénario</w:t>
      </w:r>
      <w:r w:rsidR="0041244A">
        <w:rPr>
          <w:b/>
          <w:u w:val="single"/>
        </w:rPr>
        <w:t> </w:t>
      </w:r>
      <w:r w:rsidR="0041244A">
        <w:t xml:space="preserve">: </w:t>
      </w:r>
      <w:r w:rsidR="007105EE" w:rsidRPr="00195669">
        <w:t>(voir fiche EE 2 1 1)</w:t>
      </w:r>
    </w:p>
    <w:p w:rsidR="0041244A" w:rsidRPr="00195669" w:rsidRDefault="0041244A" w:rsidP="00163783"/>
    <w:p w:rsidR="007105EE" w:rsidRPr="00195669" w:rsidRDefault="007105EE" w:rsidP="00163783">
      <w:r w:rsidRPr="0041244A">
        <w:rPr>
          <w:b/>
          <w:u w:val="single"/>
        </w:rPr>
        <w:t>Questionnement supplémentaire :</w:t>
      </w:r>
      <w:r w:rsidRPr="00195669">
        <w:t xml:space="preserve"> tracer sur un diagramme de </w:t>
      </w:r>
      <w:proofErr w:type="spellStart"/>
      <w:r w:rsidRPr="00195669">
        <w:t>Sankey</w:t>
      </w:r>
      <w:proofErr w:type="spellEnd"/>
      <w:r w:rsidRPr="00195669">
        <w:t xml:space="preserve"> les flux d’énergie.</w:t>
      </w:r>
    </w:p>
    <w:p w:rsidR="007105EE" w:rsidRDefault="007105EE" w:rsidP="00163783">
      <w:pPr>
        <w:rPr>
          <w:b/>
          <w:u w:val="single"/>
        </w:rPr>
      </w:pPr>
    </w:p>
    <w:p w:rsidR="00470CFF" w:rsidRDefault="007E1735" w:rsidP="007E1735">
      <w:pPr>
        <w:jc w:val="center"/>
        <w:rPr>
          <w:b/>
          <w:u w:val="single"/>
        </w:rPr>
      </w:pPr>
      <w:r w:rsidRPr="007E1735">
        <w:rPr>
          <w:b/>
          <w:u w:val="single"/>
        </w:rPr>
        <w:t xml:space="preserve">Diagramme de </w:t>
      </w:r>
      <w:proofErr w:type="spellStart"/>
      <w:r w:rsidRPr="007E1735">
        <w:rPr>
          <w:b/>
          <w:u w:val="single"/>
        </w:rPr>
        <w:t>Sankey</w:t>
      </w:r>
      <w:proofErr w:type="spellEnd"/>
    </w:p>
    <w:p w:rsidR="005029BA" w:rsidRPr="007E1735" w:rsidRDefault="005029BA" w:rsidP="007E1735">
      <w:pPr>
        <w:jc w:val="center"/>
        <w:rPr>
          <w:b/>
          <w:u w:val="single"/>
        </w:rPr>
      </w:pPr>
    </w:p>
    <w:p w:rsidR="00470CFF" w:rsidRDefault="00163783" w:rsidP="008C3D7F">
      <w:r>
        <w:t xml:space="preserve">Le diagramme de </w:t>
      </w:r>
      <w:proofErr w:type="spellStart"/>
      <w:r>
        <w:t>S</w:t>
      </w:r>
      <w:r w:rsidR="00470CFF">
        <w:t>ankey</w:t>
      </w:r>
      <w:proofErr w:type="spellEnd"/>
      <w:r>
        <w:t xml:space="preserve"> est le plus adapté pour représenter les transferts d’énergie. Il fait appar</w:t>
      </w:r>
      <w:r w:rsidR="007E1735">
        <w:t>aître la valeur et la direction des flux, les pertes et les recirculations de flux pour un système donné.</w:t>
      </w:r>
    </w:p>
    <w:p w:rsidR="007E1735" w:rsidRDefault="007E1735" w:rsidP="008C3D7F"/>
    <w:p w:rsidR="005029BA" w:rsidRDefault="005029B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029BA" w:rsidRDefault="005029BA" w:rsidP="008C3D7F">
      <w:pPr>
        <w:rPr>
          <w:b/>
          <w:u w:val="single"/>
        </w:rPr>
      </w:pPr>
    </w:p>
    <w:p w:rsidR="007E1735" w:rsidRDefault="007E1735" w:rsidP="008C3D7F">
      <w:r w:rsidRPr="007E1735">
        <w:rPr>
          <w:b/>
          <w:u w:val="single"/>
        </w:rPr>
        <w:t>Exemples :</w:t>
      </w:r>
      <w:r w:rsidR="0041244A">
        <w:rPr>
          <w:b/>
          <w:u w:val="single"/>
        </w:rPr>
        <w:t xml:space="preserve"> </w:t>
      </w:r>
      <w:r w:rsidR="0041244A" w:rsidRPr="0041244A">
        <w:t>combustion du charbon dans une centrale, déperditions d’un logement</w:t>
      </w:r>
    </w:p>
    <w:p w:rsidR="005029BA" w:rsidRPr="0041244A" w:rsidRDefault="005029BA" w:rsidP="008C3D7F"/>
    <w:p w:rsidR="0093116E" w:rsidRDefault="005029BA" w:rsidP="008C3D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45pt;margin-top:4.75pt;width:247.35pt;height:131.7pt;z-index:251660288;mso-width-relative:margin;mso-height-relative:margin">
            <v:textbox>
              <w:txbxContent>
                <w:p w:rsidR="007E1735" w:rsidRDefault="007E173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959225" cy="1583055"/>
                        <wp:effectExtent l="19050" t="0" r="0" b="0"/>
                        <wp:docPr id="3" name="Image 2" descr="Sample Combustion Oxy Fuel [en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ample Combustion Oxy Fuel [en]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773" cy="15844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5029BA" w:rsidRDefault="005029BA" w:rsidP="008C3D7F"/>
    <w:p w:rsidR="005029BA" w:rsidRDefault="005029BA" w:rsidP="008C3D7F"/>
    <w:p w:rsidR="007E1735" w:rsidRDefault="007E1735" w:rsidP="008C3D7F"/>
    <w:p w:rsidR="007E1735" w:rsidRDefault="005029BA" w:rsidP="008C3D7F">
      <w:r>
        <w:rPr>
          <w:rFonts w:ascii="Helvetica" w:hAnsi="Helvetica" w:cs="Helvetica"/>
          <w:noProof/>
          <w:color w:val="FF0000"/>
          <w:sz w:val="12"/>
          <w:szCs w:val="12"/>
          <w:lang w:eastAsia="fr-FR"/>
        </w:rPr>
        <w:pict>
          <v:shape id="_x0000_s1027" type="#_x0000_t202" style="position:absolute;left:0;text-align:left;margin-left:7.8pt;margin-top:3.95pt;width:227.35pt;height:140.4pt;z-index:251662336;mso-width-relative:margin;mso-height-relative:margin">
            <v:textbox>
              <w:txbxContent>
                <w:p w:rsidR="007E1735" w:rsidRDefault="007E1735">
                  <w:r w:rsidRPr="007E173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72715" cy="1670102"/>
                        <wp:effectExtent l="19050" t="0" r="0" b="0"/>
                        <wp:docPr id="4" name="Image 2" descr="http://www.biff.fr/attachments/CropImages/faaed6e086f4446b1bd0b2a8da0265d1.jpe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biff.fr/attachments/CropImages/faaed6e086f4446b1bd0b2a8da0265d1.jpe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5949" cy="16721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>
      <w:pPr>
        <w:rPr>
          <w:rFonts w:ascii="Helvetica" w:hAnsi="Helvetica" w:cs="Helvetica"/>
          <w:noProof/>
          <w:color w:val="FF0000"/>
          <w:sz w:val="12"/>
          <w:szCs w:val="12"/>
          <w:lang w:eastAsia="fr-FR"/>
        </w:rPr>
      </w:pPr>
    </w:p>
    <w:p w:rsidR="007E1735" w:rsidRDefault="007E1735" w:rsidP="008C3D7F">
      <w:pPr>
        <w:rPr>
          <w:rFonts w:ascii="Helvetica" w:hAnsi="Helvetica" w:cs="Helvetica"/>
          <w:noProof/>
          <w:color w:val="FF0000"/>
          <w:sz w:val="12"/>
          <w:szCs w:val="12"/>
          <w:lang w:eastAsia="fr-FR"/>
        </w:rPr>
      </w:pPr>
    </w:p>
    <w:p w:rsidR="007E1735" w:rsidRDefault="007E1735" w:rsidP="008C3D7F">
      <w:pPr>
        <w:rPr>
          <w:rFonts w:ascii="Helvetica" w:hAnsi="Helvetica" w:cs="Helvetica"/>
          <w:noProof/>
          <w:color w:val="FF0000"/>
          <w:sz w:val="12"/>
          <w:szCs w:val="12"/>
          <w:lang w:eastAsia="fr-FR"/>
        </w:rPr>
      </w:pPr>
    </w:p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7E1735" w:rsidRDefault="007E1735" w:rsidP="008C3D7F"/>
    <w:p w:rsidR="008B5F6E" w:rsidRDefault="00F669A3" w:rsidP="008C3D7F">
      <w:r>
        <w:t xml:space="preserve">                                                                                           </w:t>
      </w:r>
    </w:p>
    <w:p w:rsidR="00C64ABE" w:rsidRDefault="00F669A3" w:rsidP="008C3D7F">
      <w:r>
        <w:t>Autre diagramme possible : diagramme de flux (</w:t>
      </w:r>
      <w:proofErr w:type="spellStart"/>
      <w:r w:rsidR="008B5F6E">
        <w:t>Sysml</w:t>
      </w:r>
      <w:proofErr w:type="spellEnd"/>
      <w:r w:rsidR="008B5F6E">
        <w:t>)</w:t>
      </w:r>
    </w:p>
    <w:sectPr w:rsidR="00C64ABE" w:rsidSect="008C3D7F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76" w:rsidRDefault="000C1676" w:rsidP="008C3D7F">
      <w:r>
        <w:separator/>
      </w:r>
    </w:p>
  </w:endnote>
  <w:endnote w:type="continuationSeparator" w:id="0">
    <w:p w:rsidR="000C1676" w:rsidRDefault="000C1676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59" w:rsidRDefault="007B188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Pr="00DA6E81">
      <w:t>-2.1_</w:t>
    </w:r>
    <w:r w:rsidR="00026191">
      <w:t>2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785693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785693" w:rsidRPr="00AD44D3">
      <w:rPr>
        <w:rFonts w:cs="Arial"/>
      </w:rPr>
      <w:fldChar w:fldCharType="separate"/>
    </w:r>
    <w:r w:rsidR="005029BA">
      <w:rPr>
        <w:rFonts w:cs="Arial"/>
        <w:noProof/>
      </w:rPr>
      <w:t>2</w:t>
    </w:r>
    <w:r w:rsidR="00785693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76" w:rsidRDefault="000C1676" w:rsidP="008C3D7F">
      <w:r>
        <w:separator/>
      </w:r>
    </w:p>
  </w:footnote>
  <w:footnote w:type="continuationSeparator" w:id="0">
    <w:p w:rsidR="000C1676" w:rsidRDefault="000C1676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EDA43ADCD83641FCA12AB2B12D41F8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7B1885">
          <w:rPr>
            <w:b/>
            <w:sz w:val="32"/>
          </w:rPr>
          <w:t>E.E</w:t>
        </w:r>
        <w:r w:rsidRPr="008C3D7F">
          <w:rPr>
            <w:b/>
            <w:sz w:val="32"/>
          </w:rPr>
          <w:t>.</w:t>
        </w:r>
      </w:p>
    </w:sdtContent>
  </w:sdt>
  <w:p w:rsidR="008C3D7F" w:rsidRDefault="008C3D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E6A"/>
    <w:rsid w:val="00026191"/>
    <w:rsid w:val="00032F4C"/>
    <w:rsid w:val="000C1676"/>
    <w:rsid w:val="000D2338"/>
    <w:rsid w:val="000D243C"/>
    <w:rsid w:val="00145606"/>
    <w:rsid w:val="00163783"/>
    <w:rsid w:val="00195669"/>
    <w:rsid w:val="001B4EC6"/>
    <w:rsid w:val="00281D84"/>
    <w:rsid w:val="002C7B4A"/>
    <w:rsid w:val="0036080F"/>
    <w:rsid w:val="003D4795"/>
    <w:rsid w:val="00406F9C"/>
    <w:rsid w:val="0041244A"/>
    <w:rsid w:val="00470CFF"/>
    <w:rsid w:val="00477312"/>
    <w:rsid w:val="004F523A"/>
    <w:rsid w:val="005029BA"/>
    <w:rsid w:val="005229D4"/>
    <w:rsid w:val="00525A22"/>
    <w:rsid w:val="00550D8C"/>
    <w:rsid w:val="005B3F4A"/>
    <w:rsid w:val="005F6D16"/>
    <w:rsid w:val="00620B13"/>
    <w:rsid w:val="006344D5"/>
    <w:rsid w:val="00680023"/>
    <w:rsid w:val="007105EE"/>
    <w:rsid w:val="00785693"/>
    <w:rsid w:val="007B1885"/>
    <w:rsid w:val="007D5C1E"/>
    <w:rsid w:val="007E1735"/>
    <w:rsid w:val="007F7F53"/>
    <w:rsid w:val="00802A61"/>
    <w:rsid w:val="008759D8"/>
    <w:rsid w:val="008912F7"/>
    <w:rsid w:val="008B5F6E"/>
    <w:rsid w:val="008C3D7F"/>
    <w:rsid w:val="0093116E"/>
    <w:rsid w:val="00A96639"/>
    <w:rsid w:val="00AB3B32"/>
    <w:rsid w:val="00AD44D3"/>
    <w:rsid w:val="00AF22CB"/>
    <w:rsid w:val="00B52345"/>
    <w:rsid w:val="00B5767B"/>
    <w:rsid w:val="00C64ABE"/>
    <w:rsid w:val="00CA3905"/>
    <w:rsid w:val="00D30092"/>
    <w:rsid w:val="00D428CC"/>
    <w:rsid w:val="00D61259"/>
    <w:rsid w:val="00D6370C"/>
    <w:rsid w:val="00D64037"/>
    <w:rsid w:val="00DD2F7D"/>
    <w:rsid w:val="00E840C4"/>
    <w:rsid w:val="00EE66AF"/>
    <w:rsid w:val="00F2697B"/>
    <w:rsid w:val="00F669A3"/>
    <w:rsid w:val="00F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63723AC-BD21-4970-B2F3-F768DBB8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ff.fr/attachments/CropImages/faaed6e086f4446b1bd0b2a8da0265d1.jpeg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A43ADCD83641FCA12AB2B12D41F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DB1E5-4D2B-4EFF-9D49-D7A962EB143B}"/>
      </w:docPartPr>
      <w:docPartBody>
        <w:p w:rsidR="00605D8F" w:rsidRDefault="00AF3CA3">
          <w:pPr>
            <w:pStyle w:val="EDA43ADCD83641FCA12AB2B12D41F8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3CA3"/>
    <w:rsid w:val="00493DBE"/>
    <w:rsid w:val="005603B7"/>
    <w:rsid w:val="00605D8F"/>
    <w:rsid w:val="006F5CE2"/>
    <w:rsid w:val="00AF3CA3"/>
    <w:rsid w:val="00B10984"/>
    <w:rsid w:val="00E92FB3"/>
    <w:rsid w:val="00F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D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A43ADCD83641FCA12AB2B12D41F815">
    <w:name w:val="EDA43ADCD83641FCA12AB2B12D41F815"/>
    <w:rsid w:val="00605D8F"/>
  </w:style>
  <w:style w:type="paragraph" w:customStyle="1" w:styleId="37DF2323C3784AAFA14A82F5188674B9">
    <w:name w:val="37DF2323C3784AAFA14A82F5188674B9"/>
    <w:rsid w:val="005603B7"/>
  </w:style>
  <w:style w:type="paragraph" w:customStyle="1" w:styleId="2CEE17B0C1AE4725959E2B1A31F9305A">
    <w:name w:val="2CEE17B0C1AE4725959E2B1A31F9305A"/>
    <w:rsid w:val="005603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41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E.E.</vt:lpstr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Elias BAZAH</cp:lastModifiedBy>
  <cp:revision>18</cp:revision>
  <dcterms:created xsi:type="dcterms:W3CDTF">2012-03-11T18:26:00Z</dcterms:created>
  <dcterms:modified xsi:type="dcterms:W3CDTF">2015-04-06T06:54:00Z</dcterms:modified>
</cp:coreProperties>
</file>