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51"/>
      </w:tblGrid>
      <w:tr w:rsidR="007953E5" w:rsidRPr="001C4454" w:rsidTr="001C4454">
        <w:trPr>
          <w:trHeight w:val="149"/>
        </w:trPr>
        <w:tc>
          <w:tcPr>
            <w:tcW w:w="3227" w:type="dxa"/>
          </w:tcPr>
          <w:p w:rsidR="007953E5" w:rsidRPr="001C4454" w:rsidRDefault="007953E5" w:rsidP="00071E41">
            <w:pPr>
              <w:rPr>
                <w:b/>
                <w:sz w:val="26"/>
                <w:szCs w:val="26"/>
              </w:rPr>
            </w:pPr>
            <w:r w:rsidRPr="001C4454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7953E5" w:rsidRPr="001C4454" w:rsidRDefault="007953E5" w:rsidP="00071E41">
            <w:pPr>
              <w:rPr>
                <w:b/>
                <w:sz w:val="26"/>
                <w:szCs w:val="26"/>
              </w:rPr>
            </w:pPr>
            <w:r w:rsidRPr="001C4454">
              <w:rPr>
                <w:b/>
                <w:sz w:val="26"/>
                <w:szCs w:val="26"/>
              </w:rPr>
              <w:t>2. Conception d’un système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8C3D7F">
            <w:pPr>
              <w:rPr>
                <w:b/>
              </w:rPr>
            </w:pPr>
            <w:r w:rsidRPr="001C4454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t>Définir tout ou partie des fonctions assurées par une chaîne d’énergie et le système de gestion associé, anticiper ou vérifier leurs comportements par simulation.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8C3D7F">
            <w:pPr>
              <w:rPr>
                <w:b/>
              </w:rPr>
            </w:pPr>
            <w:r w:rsidRPr="001C4454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t>2.4 Approche comportementale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071E41">
            <w:pPr>
              <w:rPr>
                <w:b/>
              </w:rPr>
            </w:pPr>
            <w:r w:rsidRPr="001C4454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t>2.4.1 Comportement énergétique des systèmes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071E41">
            <w:pPr>
              <w:rPr>
                <w:b/>
              </w:rPr>
            </w:pPr>
            <w:r w:rsidRPr="001C4454">
              <w:rPr>
                <w:b/>
              </w:rPr>
              <w:t>Connaissances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t>Charge d’une chaîne d’énergie : définition, types de charges, caractérisation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071E41">
            <w:pPr>
              <w:rPr>
                <w:b/>
              </w:rPr>
            </w:pPr>
            <w:r w:rsidRPr="001C4454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t>Première Terminale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071E41">
            <w:pPr>
              <w:rPr>
                <w:b/>
              </w:rPr>
            </w:pPr>
            <w:r w:rsidRPr="001C4454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7953E5" w:rsidRPr="001C4454" w:rsidRDefault="007953E5" w:rsidP="00071E41">
            <w:r w:rsidRPr="001C4454">
              <w:rPr>
                <w:b/>
              </w:rPr>
              <w:t>3.</w:t>
            </w:r>
            <w:r w:rsidRPr="001C4454">
              <w:t xml:space="preserve"> Le contenu est relatif à la </w:t>
            </w:r>
            <w:r w:rsidRPr="001C4454">
              <w:rPr>
                <w:b/>
              </w:rPr>
              <w:t>maîtrise d’outils d’étude ou d’action</w:t>
            </w:r>
            <w:r w:rsidRPr="001C4454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774745">
            <w:pPr>
              <w:rPr>
                <w:b/>
              </w:rPr>
            </w:pPr>
            <w:r w:rsidRPr="001C4454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7953E5" w:rsidRPr="001C4454" w:rsidRDefault="007953E5" w:rsidP="007B54F2">
            <w:pPr>
              <w:rPr>
                <w:i/>
              </w:rPr>
            </w:pPr>
            <w:r w:rsidRPr="001C4454">
              <w:rPr>
                <w:i/>
              </w:rPr>
              <w:t>La caractérisation de la charge se fait par mesure ou par simulation.</w:t>
            </w:r>
          </w:p>
          <w:p w:rsidR="007953E5" w:rsidRPr="001C4454" w:rsidRDefault="007953E5" w:rsidP="007B54F2">
            <w:pPr>
              <w:rPr>
                <w:i/>
              </w:rPr>
            </w:pPr>
            <w:r w:rsidRPr="001C4454">
              <w:rPr>
                <w:i/>
              </w:rPr>
              <w:t>Dans le cas d’un bâtiment, l’étude se limite à l’’identification des paramètres influents de la structure sur le comportement de la charge.</w:t>
            </w:r>
          </w:p>
        </w:tc>
      </w:tr>
      <w:tr w:rsidR="007953E5" w:rsidRPr="001C4454" w:rsidTr="001C4454">
        <w:trPr>
          <w:trHeight w:val="142"/>
        </w:trPr>
        <w:tc>
          <w:tcPr>
            <w:tcW w:w="3227" w:type="dxa"/>
          </w:tcPr>
          <w:p w:rsidR="007953E5" w:rsidRPr="001C4454" w:rsidRDefault="007953E5" w:rsidP="00774745">
            <w:pPr>
              <w:rPr>
                <w:b/>
              </w:rPr>
            </w:pPr>
            <w:r w:rsidRPr="001C4454">
              <w:rPr>
                <w:b/>
              </w:rPr>
              <w:t>Liens</w:t>
            </w:r>
          </w:p>
        </w:tc>
        <w:tc>
          <w:tcPr>
            <w:tcW w:w="6551" w:type="dxa"/>
          </w:tcPr>
          <w:p w:rsidR="007953E5" w:rsidRPr="001C4454" w:rsidRDefault="007953E5" w:rsidP="00071E41"/>
        </w:tc>
      </w:tr>
    </w:tbl>
    <w:p w:rsidR="007953E5" w:rsidRPr="00990E05" w:rsidRDefault="007953E5" w:rsidP="008C3D7F">
      <w:pPr>
        <w:rPr>
          <w:b/>
          <w:u w:val="single"/>
        </w:rPr>
      </w:pPr>
    </w:p>
    <w:p w:rsidR="007953E5" w:rsidRPr="00990E05" w:rsidRDefault="007953E5" w:rsidP="008C3D7F">
      <w:pPr>
        <w:rPr>
          <w:b/>
          <w:u w:val="single"/>
        </w:rPr>
      </w:pPr>
      <w:r w:rsidRPr="00990E05">
        <w:rPr>
          <w:b/>
          <w:u w:val="single"/>
        </w:rPr>
        <w:t>Ce que l’on attend de l’élève :</w:t>
      </w:r>
    </w:p>
    <w:p w:rsidR="007953E5" w:rsidRDefault="007953E5" w:rsidP="008C3D7F">
      <w:r>
        <w:t>L’élève doit être capable d’identifier les différentes caractéristiques de la charge (paramètres influents : inertie, conditions extérieures)</w:t>
      </w:r>
    </w:p>
    <w:p w:rsidR="007953E5" w:rsidRDefault="007953E5" w:rsidP="008C3D7F"/>
    <w:p w:rsidR="007953E5" w:rsidRDefault="007953E5" w:rsidP="008C3D7F">
      <w:r>
        <w:t>Chaîne d’énergie :</w:t>
      </w:r>
    </w:p>
    <w:p w:rsidR="007953E5" w:rsidRDefault="007953E5" w:rsidP="008C3D7F"/>
    <w:p w:rsidR="007953E5" w:rsidRDefault="007953E5" w:rsidP="008C3D7F">
      <w:r>
        <w:rPr>
          <w:noProof/>
          <w:lang w:eastAsia="fr-FR"/>
        </w:rPr>
      </w:r>
      <w:r>
        <w:pict>
          <v:group id="_x0000_s1026" editas="canvas" style="width:480pt;height:285pt;mso-position-horizontal-relative:char;mso-position-vertical-relative:line" coordorigin="2328,5033" coordsize="7200,42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8;top:5033;width:7200;height:42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003;top:5589;width:975;height:727">
              <v:textbox>
                <w:txbxContent>
                  <w:p w:rsidR="007953E5" w:rsidRDefault="007953E5"/>
                  <w:p w:rsidR="007953E5" w:rsidRDefault="007953E5">
                    <w:r>
                      <w:t>Alimenter</w:t>
                    </w:r>
                  </w:p>
                </w:txbxContent>
              </v:textbox>
            </v:shape>
            <v:shape id="_x0000_s1029" type="#_x0000_t202" style="position:absolute;left:4878;top:5503;width:1425;height:770">
              <v:textbox>
                <w:txbxContent>
                  <w:p w:rsidR="007953E5" w:rsidRDefault="007953E5"/>
                  <w:p w:rsidR="007953E5" w:rsidRDefault="007953E5">
                    <w:r>
                      <w:t>Distribuer</w:t>
                    </w:r>
                  </w:p>
                </w:txbxContent>
              </v:textbox>
            </v:shape>
            <v:shape id="_x0000_s1030" type="#_x0000_t202" style="position:absolute;left:6903;top:5546;width:1200;height:770">
              <v:textbox>
                <w:txbxContent>
                  <w:p w:rsidR="007953E5" w:rsidRDefault="007953E5"/>
                  <w:p w:rsidR="007953E5" w:rsidRDefault="007953E5">
                    <w:r>
                      <w:t>Convertir</w:t>
                    </w:r>
                  </w:p>
                </w:txbxContent>
              </v:textbox>
            </v:shape>
            <v:shape id="_x0000_s1031" type="#_x0000_t202" style="position:absolute;left:3153;top:7085;width:1200;height:684">
              <v:textbox>
                <w:txbxContent>
                  <w:p w:rsidR="007953E5" w:rsidRDefault="007953E5"/>
                  <w:p w:rsidR="007953E5" w:rsidRDefault="007953E5">
                    <w:r>
                      <w:t>Transmettre</w:t>
                    </w:r>
                  </w:p>
                </w:txbxContent>
              </v:textbox>
            </v:shape>
            <v:line id="_x0000_s1032" style="position:absolute" from="2553,5845" to="3003,5845">
              <v:stroke endarrow="block"/>
            </v:line>
            <v:line id="_x0000_s1033" style="position:absolute" from="3978,5888" to="4878,5888">
              <v:stroke endarrow="block"/>
            </v:line>
            <v:line id="_x0000_s1034" style="position:absolute" from="6303,5888" to="6903,5888">
              <v:stroke endarrow="block"/>
            </v:line>
            <v:line id="_x0000_s1035" style="position:absolute" from="2778,7342" to="3153,7342">
              <v:stroke endarrow="block"/>
            </v:line>
            <v:line id="_x0000_s1036" style="position:absolute;flip:y" from="2778,6829" to="2779,7342"/>
            <v:line id="_x0000_s1037" style="position:absolute;flip:y" from="2778,6829" to="8703,6830"/>
            <v:line id="_x0000_s1038" style="position:absolute" from="8103,5888" to="8703,5888"/>
            <v:line id="_x0000_s1039" style="position:absolute" from="8703,5888" to="8703,6829"/>
            <v:line id="_x0000_s1040" style="position:absolute" from="4353,7384" to="5403,7384">
              <v:stroke endarrow="block"/>
            </v:line>
            <v:oval id="_x0000_s1041" style="position:absolute;left:5403;top:6957;width:1950;height:983"/>
            <v:shape id="_x0000_s1042" type="#_x0000_t202" style="position:absolute;left:5778;top:7256;width:1200;height:470" stroked="f">
              <v:textbox>
                <w:txbxContent>
                  <w:p w:rsidR="007953E5" w:rsidRDefault="007953E5">
                    <w:r>
                      <w:t>charge</w:t>
                    </w:r>
                  </w:p>
                </w:txbxContent>
              </v:textbox>
            </v:shape>
            <w10:anchorlock/>
          </v:group>
        </w:pict>
      </w:r>
    </w:p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Pr="005C2853" w:rsidRDefault="007953E5" w:rsidP="008C3D7F">
      <w:pPr>
        <w:rPr>
          <w:sz w:val="24"/>
        </w:rPr>
      </w:pPr>
      <w:r w:rsidRPr="005C2853">
        <w:rPr>
          <w:sz w:val="24"/>
        </w:rPr>
        <w:t>On appelle charge un composant qui consomme de l’énergie.</w:t>
      </w:r>
    </w:p>
    <w:p w:rsidR="007953E5" w:rsidRPr="005C2853" w:rsidRDefault="007953E5" w:rsidP="008C3D7F">
      <w:pPr>
        <w:rPr>
          <w:sz w:val="24"/>
        </w:rPr>
      </w:pPr>
    </w:p>
    <w:p w:rsidR="007953E5" w:rsidRDefault="007953E5" w:rsidP="00095A1C">
      <w:pPr>
        <w:ind w:left="2124" w:firstLine="708"/>
      </w:pPr>
      <w:r>
        <w:t>Types de charges :</w:t>
      </w:r>
    </w:p>
    <w:p w:rsidR="007953E5" w:rsidRDefault="007953E5" w:rsidP="008C3D7F">
      <w:r>
        <w:t>Charge mécanique</w:t>
      </w:r>
    </w:p>
    <w:p w:rsidR="007953E5" w:rsidRDefault="007953E5" w:rsidP="00003B90">
      <w:pPr>
        <w:numPr>
          <w:ilvl w:val="0"/>
          <w:numId w:val="1"/>
        </w:numPr>
      </w:pPr>
      <w:r>
        <w:t>Couple résistant en fonction de la vitesse (constant, linéaire, parabolique, etc…)</w:t>
      </w:r>
    </w:p>
    <w:p w:rsidR="007953E5" w:rsidRDefault="007953E5" w:rsidP="00003B90">
      <w:pPr>
        <w:numPr>
          <w:ilvl w:val="0"/>
          <w:numId w:val="1"/>
        </w:numPr>
      </w:pPr>
      <w:r>
        <w:t>Force en fonction de la vitesse.</w:t>
      </w:r>
    </w:p>
    <w:p w:rsidR="007953E5" w:rsidRDefault="007953E5" w:rsidP="008C3D7F">
      <w:r>
        <w:t>Charge thermique</w:t>
      </w:r>
    </w:p>
    <w:p w:rsidR="007953E5" w:rsidRDefault="007953E5" w:rsidP="00003B90">
      <w:pPr>
        <w:numPr>
          <w:ilvl w:val="0"/>
          <w:numId w:val="2"/>
        </w:numPr>
      </w:pPr>
      <w:r>
        <w:t>L’enveloppe du bâtiment caractérisé par ses déperditions thermiques exprimées en watts.</w:t>
      </w:r>
    </w:p>
    <w:p w:rsidR="007953E5" w:rsidRDefault="007953E5" w:rsidP="00E677CD">
      <w:r>
        <w:t>La puissance thermique se définit par le produit d’un coefficient de transmission wm</w:t>
      </w:r>
      <w:r w:rsidRPr="00E677CD">
        <w:rPr>
          <w:vertAlign w:val="superscript"/>
        </w:rPr>
        <w:t>-2</w:t>
      </w:r>
      <w:r>
        <w:t>K</w:t>
      </w:r>
      <w:r w:rsidRPr="00E677CD">
        <w:rPr>
          <w:vertAlign w:val="superscript"/>
        </w:rPr>
        <w:t>-1</w:t>
      </w:r>
      <w:r>
        <w:t xml:space="preserve"> fois </w:t>
      </w:r>
      <w:r>
        <w:rPr>
          <w:rFonts w:cs="Arial"/>
        </w:rPr>
        <w:t>Δθ (K)</w:t>
      </w:r>
      <w:r>
        <w:t xml:space="preserve"> fois la surface (m2)</w:t>
      </w:r>
    </w:p>
    <w:p w:rsidR="007953E5" w:rsidRDefault="007953E5" w:rsidP="00E677CD"/>
    <w:p w:rsidR="007953E5" w:rsidRDefault="007953E5" w:rsidP="008C3D7F">
      <w:r>
        <w:t>Charge hydraulique</w:t>
      </w:r>
    </w:p>
    <w:p w:rsidR="007953E5" w:rsidRDefault="007953E5" w:rsidP="00003B90">
      <w:pPr>
        <w:numPr>
          <w:ilvl w:val="0"/>
          <w:numId w:val="2"/>
        </w:numPr>
      </w:pPr>
      <w:r>
        <w:t>Perte de charge en fonction du débit.</w:t>
      </w:r>
    </w:p>
    <w:p w:rsidR="007953E5" w:rsidRDefault="007953E5" w:rsidP="00E677CD"/>
    <w:p w:rsidR="007953E5" w:rsidRDefault="007953E5" w:rsidP="00E677CD">
      <w:r>
        <w:t xml:space="preserve">La puissance hydraulique se définit par le produit débit – pertes de charge (pression). </w:t>
      </w:r>
    </w:p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p w:rsidR="007953E5" w:rsidRDefault="007953E5" w:rsidP="008C3D7F"/>
    <w:sectPr w:rsidR="007953E5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E5" w:rsidRDefault="007953E5" w:rsidP="008C3D7F">
      <w:r>
        <w:separator/>
      </w:r>
    </w:p>
  </w:endnote>
  <w:endnote w:type="continuationSeparator" w:id="0">
    <w:p w:rsidR="007953E5" w:rsidRDefault="007953E5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5" w:rsidRDefault="007953E5" w:rsidP="001C4454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t>E.E.-2.4.1</w:t>
    </w:r>
    <w:r w:rsidRPr="00DA6E81">
      <w:t>_</w:t>
    </w:r>
    <w:r>
      <w:t>3</w:t>
    </w:r>
    <w:r w:rsidRPr="00AD44D3">
      <w:rPr>
        <w:rFonts w:cs="Arial"/>
      </w:rPr>
      <w:tab/>
      <w:t>Page</w:t>
    </w:r>
    <w:r>
      <w:rPr>
        <w:rFonts w:ascii="Cambria" w:hAnsi="Cambria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>
      <w:rPr>
        <w:rFonts w:cs="Arial"/>
        <w:noProof/>
      </w:rPr>
      <w:t>2</w:t>
    </w:r>
    <w:r w:rsidRPr="00AD44D3">
      <w:rPr>
        <w:rFonts w:cs="Arial"/>
      </w:rPr>
      <w:fldChar w:fldCharType="end"/>
    </w:r>
  </w:p>
  <w:p w:rsidR="007953E5" w:rsidRDefault="00795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E5" w:rsidRDefault="007953E5" w:rsidP="008C3D7F">
      <w:r>
        <w:separator/>
      </w:r>
    </w:p>
  </w:footnote>
  <w:footnote w:type="continuationSeparator" w:id="0">
    <w:p w:rsidR="007953E5" w:rsidRDefault="007953E5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5" w:rsidRPr="008C3D7F" w:rsidRDefault="007953E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8"/>
        <w:szCs w:val="32"/>
      </w:rPr>
    </w:pPr>
    <w:r w:rsidRPr="008C3D7F">
      <w:rPr>
        <w:b/>
        <w:sz w:val="32"/>
      </w:rPr>
      <w:t xml:space="preserve">Spécialité </w:t>
    </w:r>
    <w:r>
      <w:rPr>
        <w:b/>
        <w:sz w:val="32"/>
      </w:rPr>
      <w:t>E.E</w:t>
    </w:r>
    <w:r w:rsidRPr="008C3D7F">
      <w:rPr>
        <w:b/>
        <w:sz w:val="32"/>
      </w:rPr>
      <w:t>.</w:t>
    </w:r>
  </w:p>
  <w:p w:rsidR="007953E5" w:rsidRDefault="007953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771"/>
    <w:multiLevelType w:val="hybridMultilevel"/>
    <w:tmpl w:val="3DB2524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BBE564A"/>
    <w:multiLevelType w:val="hybridMultilevel"/>
    <w:tmpl w:val="5DBA228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BA9"/>
    <w:rsid w:val="00003B90"/>
    <w:rsid w:val="00071E41"/>
    <w:rsid w:val="00095A1C"/>
    <w:rsid w:val="001120CD"/>
    <w:rsid w:val="001C4454"/>
    <w:rsid w:val="00281D84"/>
    <w:rsid w:val="0036080F"/>
    <w:rsid w:val="00406F9C"/>
    <w:rsid w:val="00477312"/>
    <w:rsid w:val="004C38C2"/>
    <w:rsid w:val="005229D4"/>
    <w:rsid w:val="00525A22"/>
    <w:rsid w:val="00550D8C"/>
    <w:rsid w:val="00552B04"/>
    <w:rsid w:val="005570E4"/>
    <w:rsid w:val="005C2853"/>
    <w:rsid w:val="005F6D16"/>
    <w:rsid w:val="00620B13"/>
    <w:rsid w:val="006344D5"/>
    <w:rsid w:val="00647359"/>
    <w:rsid w:val="006E5112"/>
    <w:rsid w:val="00774745"/>
    <w:rsid w:val="0078750A"/>
    <w:rsid w:val="007953E5"/>
    <w:rsid w:val="007B1885"/>
    <w:rsid w:val="007B54F2"/>
    <w:rsid w:val="007D19D4"/>
    <w:rsid w:val="007F7F53"/>
    <w:rsid w:val="00802A61"/>
    <w:rsid w:val="00866E54"/>
    <w:rsid w:val="008C3D7F"/>
    <w:rsid w:val="00990E05"/>
    <w:rsid w:val="009C307E"/>
    <w:rsid w:val="00A04C48"/>
    <w:rsid w:val="00A1299D"/>
    <w:rsid w:val="00A9672D"/>
    <w:rsid w:val="00AB3B32"/>
    <w:rsid w:val="00AD44D3"/>
    <w:rsid w:val="00B151D0"/>
    <w:rsid w:val="00B22152"/>
    <w:rsid w:val="00B54777"/>
    <w:rsid w:val="00B5767B"/>
    <w:rsid w:val="00C15C56"/>
    <w:rsid w:val="00C27A43"/>
    <w:rsid w:val="00CA3905"/>
    <w:rsid w:val="00D30092"/>
    <w:rsid w:val="00D61259"/>
    <w:rsid w:val="00D64037"/>
    <w:rsid w:val="00DA6E81"/>
    <w:rsid w:val="00DC5D63"/>
    <w:rsid w:val="00DD2F7D"/>
    <w:rsid w:val="00E677CD"/>
    <w:rsid w:val="00EA16CF"/>
    <w:rsid w:val="00EE66AF"/>
    <w:rsid w:val="00EE7DE2"/>
    <w:rsid w:val="00F04EF7"/>
    <w:rsid w:val="00F10EA1"/>
    <w:rsid w:val="00F12BE5"/>
    <w:rsid w:val="00F2697B"/>
    <w:rsid w:val="00F26C9E"/>
    <w:rsid w:val="00F904DD"/>
    <w:rsid w:val="00F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  <w:pPr>
      <w:jc w:val="both"/>
    </w:pPr>
    <w:rPr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C3D7F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C3D7F"/>
    <w:rPr>
      <w:rFonts w:eastAsia="Times New Roman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D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D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D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3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78</TotalTime>
  <Pages>2</Pages>
  <Words>273</Words>
  <Characters>1502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E.E.</dc:title>
  <dc:subject/>
  <dc:creator>Patrick Cohen</dc:creator>
  <cp:keywords/>
  <dc:description/>
  <cp:lastModifiedBy>laurent</cp:lastModifiedBy>
  <cp:revision>16</cp:revision>
  <dcterms:created xsi:type="dcterms:W3CDTF">2011-12-15T09:31:00Z</dcterms:created>
  <dcterms:modified xsi:type="dcterms:W3CDTF">2012-04-02T15:16:00Z</dcterms:modified>
</cp:coreProperties>
</file>