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:rsidTr="008C3D7F">
        <w:trPr>
          <w:trHeight w:val="149"/>
        </w:trPr>
        <w:tc>
          <w:tcPr>
            <w:tcW w:w="3227" w:type="dxa"/>
          </w:tcPr>
          <w:p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:rsidR="008C3D7F" w:rsidRPr="00802A61" w:rsidRDefault="007B1885" w:rsidP="00071E41">
            <w:pPr>
              <w:rPr>
                <w:b/>
                <w:sz w:val="26"/>
                <w:szCs w:val="26"/>
              </w:rPr>
            </w:pPr>
            <w:r w:rsidRPr="007B1885">
              <w:rPr>
                <w:b/>
                <w:sz w:val="26"/>
                <w:szCs w:val="26"/>
              </w:rPr>
              <w:t>2. Conception d’un système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8C3D7F" w:rsidRPr="008C3D7F" w:rsidRDefault="007B1885" w:rsidP="00071E41">
            <w:r>
              <w:t>D</w:t>
            </w:r>
            <w:r w:rsidRPr="007B1885">
              <w:t>éfinir tout ou partie des fonctions assurées par une chaîne d’énergie et le système de gestion associé, anticiper ou vérifier leurs comportements par simulation.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8C3D7F" w:rsidRPr="008C3D7F" w:rsidRDefault="00866E54" w:rsidP="00071E41">
            <w:r w:rsidRPr="00DC4198">
              <w:t>2.4 Approche comportementale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C3D7F" w:rsidRPr="008C3D7F" w:rsidRDefault="007C3F54" w:rsidP="00071E41">
            <w:r w:rsidRPr="007C3F54">
              <w:t>2.4.3 Validation comportementale par simulation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:rsidR="00D9203A" w:rsidRDefault="00D9203A" w:rsidP="00D9203A">
            <w:r>
              <w:t>Loi de commande, paramètres du modèle de comportement, paramètres de l’environnement</w:t>
            </w:r>
          </w:p>
          <w:p w:rsidR="00D9203A" w:rsidRDefault="00D9203A" w:rsidP="00D9203A">
            <w:r>
              <w:t>Validation du comportement énergétique d’une structure par simulation</w:t>
            </w:r>
          </w:p>
          <w:p w:rsidR="008C3D7F" w:rsidRPr="008C3D7F" w:rsidRDefault="00D9203A" w:rsidP="00D9203A">
            <w:r>
              <w:t>Validation du comportement du système de gestion d’une chaîne d’énergie par simulation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C3D7F" w:rsidRPr="008C3D7F" w:rsidRDefault="005F6D16" w:rsidP="00071E41">
            <w:r>
              <w:t>Première Terminale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C3D7F" w:rsidRPr="008C3D7F" w:rsidRDefault="005F6D16" w:rsidP="00071E41">
            <w:r w:rsidRPr="007F7F53">
              <w:rPr>
                <w:b/>
              </w:rPr>
              <w:t>3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la </w:t>
            </w:r>
            <w:r w:rsidR="00DD2F7D" w:rsidRPr="00DD2F7D">
              <w:rPr>
                <w:b/>
              </w:rPr>
              <w:t>maîtrise d’outils d’étude ou d’action</w:t>
            </w:r>
            <w:r w:rsidR="00DD2F7D"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D9203A" w:rsidRPr="00D9203A" w:rsidRDefault="00D9203A" w:rsidP="00D9203A">
            <w:pPr>
              <w:rPr>
                <w:i/>
              </w:rPr>
            </w:pPr>
            <w:r w:rsidRPr="00D9203A">
              <w:rPr>
                <w:i/>
              </w:rPr>
              <w:t xml:space="preserve">Les outils de simulation, complémentaires aux expérimentations, sont mis en </w:t>
            </w:r>
            <w:r w:rsidR="0039571A" w:rsidRPr="00D9203A">
              <w:rPr>
                <w:i/>
              </w:rPr>
              <w:t>œuvre</w:t>
            </w:r>
            <w:r w:rsidRPr="00D9203A">
              <w:rPr>
                <w:i/>
              </w:rPr>
              <w:t xml:space="preserve"> régulièrement pour comprendre, analyser ou prédire un comportement ou un résultat, pour aider au paramétrage et au dimensionnement de constituants.</w:t>
            </w:r>
          </w:p>
          <w:p w:rsidR="008C3D7F" w:rsidRPr="005F6D16" w:rsidRDefault="00D9203A" w:rsidP="00D9203A">
            <w:pPr>
              <w:rPr>
                <w:i/>
              </w:rPr>
            </w:pPr>
            <w:r w:rsidRPr="00D9203A">
              <w:rPr>
                <w:i/>
              </w:rPr>
              <w:t xml:space="preserve">La mise en </w:t>
            </w:r>
            <w:r w:rsidR="0039571A" w:rsidRPr="00D9203A">
              <w:rPr>
                <w:i/>
              </w:rPr>
              <w:t>œuvre</w:t>
            </w:r>
            <w:bookmarkStart w:id="0" w:name="_GoBack"/>
            <w:bookmarkEnd w:id="0"/>
            <w:r w:rsidRPr="00D9203A">
              <w:rPr>
                <w:i/>
              </w:rPr>
              <w:t xml:space="preserve"> des outils de simulation s’appuie sur l’utilisation de bibliothèques.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</w:tbl>
    <w:p w:rsidR="00D64037" w:rsidRDefault="00D64037" w:rsidP="008C3D7F"/>
    <w:sectPr w:rsidR="00D64037" w:rsidSect="008C3D7F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A3A" w:rsidRDefault="00804A3A" w:rsidP="008C3D7F">
      <w:r>
        <w:separator/>
      </w:r>
    </w:p>
  </w:endnote>
  <w:endnote w:type="continuationSeparator" w:id="0">
    <w:p w:rsidR="00804A3A" w:rsidRDefault="00804A3A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59" w:rsidRDefault="003E39F5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E.E.-2.4.</w:t>
    </w:r>
    <w:r w:rsidR="007C3F54">
      <w:t>3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CE0780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CE0780" w:rsidRPr="00AD44D3">
      <w:rPr>
        <w:rFonts w:cs="Arial"/>
      </w:rPr>
      <w:fldChar w:fldCharType="separate"/>
    </w:r>
    <w:r w:rsidR="0039571A">
      <w:rPr>
        <w:rFonts w:cs="Arial"/>
        <w:noProof/>
      </w:rPr>
      <w:t>1</w:t>
    </w:r>
    <w:r w:rsidR="00CE0780" w:rsidRPr="00AD44D3">
      <w:rPr>
        <w:rFonts w:cs="Arial"/>
      </w:rPr>
      <w:fldChar w:fldCharType="end"/>
    </w:r>
  </w:p>
  <w:p w:rsidR="00D61259" w:rsidRDefault="00D612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A3A" w:rsidRDefault="00804A3A" w:rsidP="008C3D7F">
      <w:r>
        <w:separator/>
      </w:r>
    </w:p>
  </w:footnote>
  <w:footnote w:type="continuationSeparator" w:id="0">
    <w:p w:rsidR="00804A3A" w:rsidRDefault="00804A3A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32"/>
      </w:rPr>
      <w:alias w:val="Titre"/>
      <w:id w:val="77738743"/>
      <w:placeholder>
        <w:docPart w:val="EDA43ADCD83641FCA12AB2B12D41F81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C3D7F" w:rsidRPr="008C3D7F" w:rsidRDefault="008C3D7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 xml:space="preserve">Spécialité </w:t>
        </w:r>
        <w:r w:rsidR="007B1885">
          <w:rPr>
            <w:b/>
            <w:sz w:val="32"/>
          </w:rPr>
          <w:t>E.E</w:t>
        </w:r>
        <w:r w:rsidRPr="008C3D7F">
          <w:rPr>
            <w:b/>
            <w:sz w:val="32"/>
          </w:rPr>
          <w:t>.</w:t>
        </w:r>
      </w:p>
    </w:sdtContent>
  </w:sdt>
  <w:p w:rsidR="008C3D7F" w:rsidRDefault="008C3D7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BA9"/>
    <w:rsid w:val="00281D84"/>
    <w:rsid w:val="0036080F"/>
    <w:rsid w:val="0039571A"/>
    <w:rsid w:val="003E39F5"/>
    <w:rsid w:val="00406F9C"/>
    <w:rsid w:val="00477312"/>
    <w:rsid w:val="005229D4"/>
    <w:rsid w:val="00525A22"/>
    <w:rsid w:val="00550D8C"/>
    <w:rsid w:val="005F6D16"/>
    <w:rsid w:val="00620B13"/>
    <w:rsid w:val="006344D5"/>
    <w:rsid w:val="00647359"/>
    <w:rsid w:val="007B1885"/>
    <w:rsid w:val="007C3F54"/>
    <w:rsid w:val="007F7F53"/>
    <w:rsid w:val="00802A61"/>
    <w:rsid w:val="00804A3A"/>
    <w:rsid w:val="00866E54"/>
    <w:rsid w:val="008C3D7F"/>
    <w:rsid w:val="009E4DAB"/>
    <w:rsid w:val="00AB3B32"/>
    <w:rsid w:val="00AD44D3"/>
    <w:rsid w:val="00B5767B"/>
    <w:rsid w:val="00CA3905"/>
    <w:rsid w:val="00CE0780"/>
    <w:rsid w:val="00D30092"/>
    <w:rsid w:val="00D61259"/>
    <w:rsid w:val="00D64037"/>
    <w:rsid w:val="00D9203A"/>
    <w:rsid w:val="00DD2F7D"/>
    <w:rsid w:val="00EE66AF"/>
    <w:rsid w:val="00F2697B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A9B02-252F-456C-9785-C2884783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A43ADCD83641FCA12AB2B12D41F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DDB1E5-4D2B-4EFF-9D49-D7A962EB143B}"/>
      </w:docPartPr>
      <w:docPartBody>
        <w:p w:rsidR="00822F4E" w:rsidRDefault="00AA344E">
          <w:pPr>
            <w:pStyle w:val="EDA43ADCD83641FCA12AB2B12D41F81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344E"/>
    <w:rsid w:val="00822F4E"/>
    <w:rsid w:val="00AA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DA43ADCD83641FCA12AB2B12D41F815">
    <w:name w:val="EDA43ADCD83641FCA12AB2B12D41F815"/>
    <w:rsid w:val="00822F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: Tronc Commun ou Spécialité A.C. E.E. I.T.E.C. S.I.N.</vt:lpstr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E.E.</dc:title>
  <dc:creator>Patrick Cohen</dc:creator>
  <cp:lastModifiedBy>Elias BAZAH</cp:lastModifiedBy>
  <cp:revision>4</cp:revision>
  <dcterms:created xsi:type="dcterms:W3CDTF">2011-09-11T10:29:00Z</dcterms:created>
  <dcterms:modified xsi:type="dcterms:W3CDTF">2015-04-06T06:57:00Z</dcterms:modified>
</cp:coreProperties>
</file>