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551"/>
      </w:tblGrid>
      <w:tr w:rsidR="00C360AE" w:rsidRPr="0061561F" w:rsidTr="0061561F">
        <w:trPr>
          <w:trHeight w:val="149"/>
        </w:trPr>
        <w:tc>
          <w:tcPr>
            <w:tcW w:w="3227" w:type="dxa"/>
          </w:tcPr>
          <w:p w:rsidR="00C360AE" w:rsidRPr="0061561F" w:rsidRDefault="00C360AE" w:rsidP="00071E41">
            <w:pPr>
              <w:rPr>
                <w:b/>
                <w:sz w:val="26"/>
                <w:szCs w:val="26"/>
              </w:rPr>
            </w:pPr>
            <w:r w:rsidRPr="0061561F">
              <w:rPr>
                <w:b/>
                <w:sz w:val="26"/>
                <w:szCs w:val="26"/>
              </w:rPr>
              <w:t>Chapitre</w:t>
            </w:r>
          </w:p>
        </w:tc>
        <w:tc>
          <w:tcPr>
            <w:tcW w:w="6551" w:type="dxa"/>
          </w:tcPr>
          <w:p w:rsidR="00C360AE" w:rsidRPr="0061561F" w:rsidRDefault="00C360AE" w:rsidP="00071E41">
            <w:pPr>
              <w:rPr>
                <w:b/>
                <w:sz w:val="26"/>
                <w:szCs w:val="26"/>
              </w:rPr>
            </w:pPr>
            <w:r w:rsidRPr="0061561F">
              <w:rPr>
                <w:b/>
                <w:sz w:val="26"/>
                <w:szCs w:val="26"/>
              </w:rPr>
              <w:t>2. Conception d’un système</w:t>
            </w:r>
          </w:p>
        </w:tc>
      </w:tr>
      <w:tr w:rsidR="00C360AE" w:rsidRPr="0061561F" w:rsidTr="0061561F">
        <w:trPr>
          <w:trHeight w:val="142"/>
        </w:trPr>
        <w:tc>
          <w:tcPr>
            <w:tcW w:w="3227" w:type="dxa"/>
          </w:tcPr>
          <w:p w:rsidR="00C360AE" w:rsidRPr="0061561F" w:rsidRDefault="00C360AE" w:rsidP="008C3D7F">
            <w:pPr>
              <w:rPr>
                <w:b/>
              </w:rPr>
            </w:pPr>
            <w:r w:rsidRPr="0061561F">
              <w:rPr>
                <w:b/>
              </w:rPr>
              <w:t>Objectif général de formation</w:t>
            </w:r>
          </w:p>
        </w:tc>
        <w:tc>
          <w:tcPr>
            <w:tcW w:w="6551" w:type="dxa"/>
          </w:tcPr>
          <w:p w:rsidR="00C360AE" w:rsidRPr="0061561F" w:rsidRDefault="00C360AE" w:rsidP="00071E41">
            <w:r w:rsidRPr="0061561F">
              <w:t>Définir tout ou partie des fonctions assurées par une chaîne d’énergie et le système de gestion associé, anticiper ou vérifier leurs comportements par simulation.</w:t>
            </w:r>
          </w:p>
        </w:tc>
      </w:tr>
      <w:tr w:rsidR="00C360AE" w:rsidRPr="0061561F" w:rsidTr="0061561F">
        <w:trPr>
          <w:trHeight w:val="142"/>
        </w:trPr>
        <w:tc>
          <w:tcPr>
            <w:tcW w:w="3227" w:type="dxa"/>
          </w:tcPr>
          <w:p w:rsidR="00C360AE" w:rsidRPr="0061561F" w:rsidRDefault="00C360AE" w:rsidP="008C3D7F">
            <w:pPr>
              <w:rPr>
                <w:b/>
              </w:rPr>
            </w:pPr>
            <w:r w:rsidRPr="0061561F">
              <w:rPr>
                <w:b/>
              </w:rPr>
              <w:t>Paragraphe</w:t>
            </w:r>
          </w:p>
        </w:tc>
        <w:tc>
          <w:tcPr>
            <w:tcW w:w="6551" w:type="dxa"/>
          </w:tcPr>
          <w:p w:rsidR="00C360AE" w:rsidRPr="0061561F" w:rsidRDefault="00C360AE" w:rsidP="00071E41">
            <w:r w:rsidRPr="0061561F">
              <w:t>2.5 Critères de choix de solutions</w:t>
            </w:r>
          </w:p>
        </w:tc>
      </w:tr>
      <w:tr w:rsidR="00C360AE" w:rsidRPr="0061561F" w:rsidTr="0061561F">
        <w:trPr>
          <w:trHeight w:val="142"/>
        </w:trPr>
        <w:tc>
          <w:tcPr>
            <w:tcW w:w="3227" w:type="dxa"/>
          </w:tcPr>
          <w:p w:rsidR="00C360AE" w:rsidRPr="0061561F" w:rsidRDefault="00C360AE" w:rsidP="00071E41">
            <w:pPr>
              <w:rPr>
                <w:b/>
              </w:rPr>
            </w:pPr>
            <w:r w:rsidRPr="0061561F">
              <w:rPr>
                <w:b/>
              </w:rPr>
              <w:t>Sous paragraphe</w:t>
            </w:r>
          </w:p>
        </w:tc>
        <w:tc>
          <w:tcPr>
            <w:tcW w:w="6551" w:type="dxa"/>
          </w:tcPr>
          <w:p w:rsidR="00C360AE" w:rsidRPr="0061561F" w:rsidRDefault="00C360AE" w:rsidP="00071E41"/>
        </w:tc>
      </w:tr>
      <w:tr w:rsidR="00C360AE" w:rsidRPr="0061561F" w:rsidTr="0061561F">
        <w:trPr>
          <w:trHeight w:val="142"/>
        </w:trPr>
        <w:tc>
          <w:tcPr>
            <w:tcW w:w="3227" w:type="dxa"/>
          </w:tcPr>
          <w:p w:rsidR="00C360AE" w:rsidRPr="0061561F" w:rsidRDefault="00C360AE" w:rsidP="00071E41">
            <w:pPr>
              <w:rPr>
                <w:b/>
              </w:rPr>
            </w:pPr>
            <w:r w:rsidRPr="0061561F">
              <w:rPr>
                <w:b/>
              </w:rPr>
              <w:t>Connaissances</w:t>
            </w:r>
          </w:p>
        </w:tc>
        <w:tc>
          <w:tcPr>
            <w:tcW w:w="6551" w:type="dxa"/>
          </w:tcPr>
          <w:p w:rsidR="00C360AE" w:rsidRPr="0061561F" w:rsidRDefault="00C360AE" w:rsidP="00160ED8">
            <w:r w:rsidRPr="0061561F">
              <w:t>Coût global d’un système : investissement initial, maintenance, entretien, adaptation à l’usage, consommation énergétique</w:t>
            </w:r>
          </w:p>
        </w:tc>
      </w:tr>
      <w:tr w:rsidR="00C360AE" w:rsidRPr="0061561F" w:rsidTr="0061561F">
        <w:trPr>
          <w:trHeight w:val="142"/>
        </w:trPr>
        <w:tc>
          <w:tcPr>
            <w:tcW w:w="3227" w:type="dxa"/>
          </w:tcPr>
          <w:p w:rsidR="00C360AE" w:rsidRPr="0061561F" w:rsidRDefault="00C360AE" w:rsidP="00071E41">
            <w:pPr>
              <w:rPr>
                <w:b/>
              </w:rPr>
            </w:pPr>
            <w:r w:rsidRPr="0061561F">
              <w:rPr>
                <w:b/>
              </w:rPr>
              <w:t>Niveau d’enseignement</w:t>
            </w:r>
          </w:p>
        </w:tc>
        <w:tc>
          <w:tcPr>
            <w:tcW w:w="6551" w:type="dxa"/>
          </w:tcPr>
          <w:p w:rsidR="00C360AE" w:rsidRPr="0061561F" w:rsidRDefault="00C360AE" w:rsidP="00071E41">
            <w:r w:rsidRPr="0061561F">
              <w:t>Terminale</w:t>
            </w:r>
          </w:p>
        </w:tc>
      </w:tr>
      <w:tr w:rsidR="00C360AE" w:rsidRPr="0061561F" w:rsidTr="0061561F">
        <w:trPr>
          <w:trHeight w:val="142"/>
        </w:trPr>
        <w:tc>
          <w:tcPr>
            <w:tcW w:w="3227" w:type="dxa"/>
          </w:tcPr>
          <w:p w:rsidR="00C360AE" w:rsidRPr="0061561F" w:rsidRDefault="00C360AE" w:rsidP="00071E41">
            <w:pPr>
              <w:rPr>
                <w:b/>
              </w:rPr>
            </w:pPr>
            <w:r w:rsidRPr="0061561F">
              <w:rPr>
                <w:b/>
              </w:rPr>
              <w:t>Niveau taxonomique</w:t>
            </w:r>
          </w:p>
        </w:tc>
        <w:tc>
          <w:tcPr>
            <w:tcW w:w="6551" w:type="dxa"/>
          </w:tcPr>
          <w:p w:rsidR="00C360AE" w:rsidRPr="0061561F" w:rsidRDefault="00C360AE" w:rsidP="00071E41">
            <w:r w:rsidRPr="0061561F">
              <w:rPr>
                <w:b/>
              </w:rPr>
              <w:t>3.</w:t>
            </w:r>
            <w:r w:rsidRPr="0061561F">
              <w:t xml:space="preserve"> Le contenu est relatif à la </w:t>
            </w:r>
            <w:r w:rsidRPr="0061561F">
              <w:rPr>
                <w:b/>
              </w:rPr>
              <w:t>maîtrise d’outils d’étude ou d’action</w:t>
            </w:r>
            <w:r w:rsidRPr="0061561F">
              <w:t xml:space="preserve"> : utiliser, manipuler des règles ou des ensembles de règles (algorithme), des principes, des démarches formalisées en vue d’un résultat à atteindre.</w:t>
            </w:r>
          </w:p>
        </w:tc>
      </w:tr>
      <w:tr w:rsidR="00C360AE" w:rsidRPr="0061561F" w:rsidTr="0061561F">
        <w:trPr>
          <w:trHeight w:val="142"/>
        </w:trPr>
        <w:tc>
          <w:tcPr>
            <w:tcW w:w="3227" w:type="dxa"/>
          </w:tcPr>
          <w:p w:rsidR="00C360AE" w:rsidRPr="0061561F" w:rsidRDefault="00C360AE" w:rsidP="00774745">
            <w:pPr>
              <w:rPr>
                <w:b/>
              </w:rPr>
            </w:pPr>
            <w:r w:rsidRPr="0061561F">
              <w:rPr>
                <w:b/>
              </w:rPr>
              <w:t>Commentaire</w:t>
            </w:r>
          </w:p>
        </w:tc>
        <w:tc>
          <w:tcPr>
            <w:tcW w:w="6551" w:type="dxa"/>
          </w:tcPr>
          <w:p w:rsidR="00C360AE" w:rsidRPr="0061561F" w:rsidRDefault="00C360AE" w:rsidP="00071E41">
            <w:pPr>
              <w:rPr>
                <w:i/>
              </w:rPr>
            </w:pPr>
            <w:r w:rsidRPr="0061561F">
              <w:rPr>
                <w:i/>
              </w:rPr>
              <w:t>La recherche de l’optimisation du coût global d’un système ou d’un constituant se fait en envisageant différents systèmes de gestion de l’énergie et (ou) différents scénarios de cycle de vie. Cette recherche permet d’identifier les parties du système les plus pénalisantes du point de vue de l’impact environnemental.</w:t>
            </w:r>
          </w:p>
        </w:tc>
      </w:tr>
      <w:tr w:rsidR="00C360AE" w:rsidRPr="0061561F" w:rsidTr="0061561F">
        <w:trPr>
          <w:trHeight w:val="142"/>
        </w:trPr>
        <w:tc>
          <w:tcPr>
            <w:tcW w:w="3227" w:type="dxa"/>
          </w:tcPr>
          <w:p w:rsidR="00C360AE" w:rsidRPr="0061561F" w:rsidRDefault="00C360AE" w:rsidP="00774745">
            <w:pPr>
              <w:rPr>
                <w:b/>
              </w:rPr>
            </w:pPr>
            <w:r w:rsidRPr="0061561F">
              <w:rPr>
                <w:b/>
              </w:rPr>
              <w:t>Liens</w:t>
            </w:r>
          </w:p>
        </w:tc>
        <w:tc>
          <w:tcPr>
            <w:tcW w:w="6551" w:type="dxa"/>
          </w:tcPr>
          <w:p w:rsidR="00C360AE" w:rsidRPr="0061561F" w:rsidRDefault="00C360AE" w:rsidP="00071E41"/>
        </w:tc>
      </w:tr>
    </w:tbl>
    <w:p w:rsidR="00C360AE" w:rsidRDefault="00C360AE" w:rsidP="00B42907">
      <w:pPr>
        <w:pStyle w:val="corps-p1"/>
        <w:spacing w:before="0"/>
        <w:rPr>
          <w:rStyle w:val="corps-c21"/>
          <w:rFonts w:ascii="Arial" w:hAnsi="Arial" w:cs="Arial"/>
        </w:rPr>
      </w:pPr>
      <w:r>
        <w:rPr>
          <w:rStyle w:val="corps-c21"/>
          <w:rFonts w:ascii="Arial" w:hAnsi="Arial" w:cs="Arial"/>
          <w:b/>
          <w:sz w:val="24"/>
          <w:szCs w:val="24"/>
          <w:u w:val="single"/>
        </w:rPr>
        <w:t>Pré requis :</w:t>
      </w:r>
    </w:p>
    <w:p w:rsidR="00C360AE" w:rsidRDefault="00C360AE" w:rsidP="00A12473">
      <w:pPr>
        <w:pStyle w:val="corps-p1"/>
        <w:numPr>
          <w:ilvl w:val="0"/>
          <w:numId w:val="4"/>
        </w:numPr>
        <w:spacing w:before="0"/>
        <w:rPr>
          <w:rStyle w:val="corps-c21"/>
          <w:rFonts w:ascii="Arial" w:hAnsi="Arial" w:cs="Arial"/>
        </w:rPr>
      </w:pPr>
      <w:r>
        <w:rPr>
          <w:rStyle w:val="corps-c21"/>
          <w:rFonts w:ascii="Arial" w:hAnsi="Arial" w:cs="Arial"/>
        </w:rPr>
        <w:t>Analyse de cycle de vie.</w:t>
      </w:r>
    </w:p>
    <w:p w:rsidR="00C360AE" w:rsidRDefault="00C360AE" w:rsidP="00A12473">
      <w:pPr>
        <w:pStyle w:val="corps-p1"/>
        <w:numPr>
          <w:ilvl w:val="0"/>
          <w:numId w:val="4"/>
        </w:numPr>
        <w:spacing w:before="0"/>
        <w:rPr>
          <w:rStyle w:val="corps-c21"/>
          <w:rFonts w:ascii="Arial" w:hAnsi="Arial" w:cs="Arial"/>
        </w:rPr>
      </w:pPr>
      <w:r>
        <w:rPr>
          <w:rStyle w:val="corps-c21"/>
          <w:rFonts w:ascii="Arial" w:hAnsi="Arial" w:cs="Arial"/>
        </w:rPr>
        <w:t>Impacts environnementaux.</w:t>
      </w:r>
    </w:p>
    <w:p w:rsidR="00C360AE" w:rsidRPr="00A12473" w:rsidRDefault="00C360AE" w:rsidP="00A12473">
      <w:pPr>
        <w:pStyle w:val="corps-p1"/>
        <w:numPr>
          <w:ilvl w:val="0"/>
          <w:numId w:val="4"/>
        </w:numPr>
        <w:spacing w:before="0"/>
        <w:rPr>
          <w:rStyle w:val="corps-c21"/>
          <w:rFonts w:ascii="Arial" w:hAnsi="Arial" w:cs="Arial"/>
        </w:rPr>
      </w:pPr>
      <w:r>
        <w:rPr>
          <w:rStyle w:val="corps-c21"/>
          <w:rFonts w:ascii="Arial" w:hAnsi="Arial" w:cs="Arial"/>
        </w:rPr>
        <w:t>Monétarisations des impacts environnementaux.</w:t>
      </w:r>
    </w:p>
    <w:p w:rsidR="00C360AE" w:rsidRDefault="00C360AE" w:rsidP="00B42907">
      <w:pPr>
        <w:pStyle w:val="corps-p1"/>
        <w:spacing w:before="0"/>
        <w:rPr>
          <w:rStyle w:val="corps-c21"/>
          <w:rFonts w:ascii="Arial" w:hAnsi="Arial" w:cs="Arial"/>
          <w:b/>
          <w:sz w:val="24"/>
          <w:szCs w:val="24"/>
          <w:u w:val="single"/>
        </w:rPr>
      </w:pPr>
    </w:p>
    <w:p w:rsidR="00C360AE" w:rsidRDefault="00C360AE" w:rsidP="00B42907">
      <w:pPr>
        <w:pStyle w:val="corps-p1"/>
        <w:spacing w:before="0"/>
        <w:rPr>
          <w:rStyle w:val="corps-c21"/>
          <w:rFonts w:ascii="Arial" w:hAnsi="Arial" w:cs="Arial"/>
          <w:b/>
          <w:sz w:val="24"/>
          <w:szCs w:val="24"/>
          <w:u w:val="single"/>
        </w:rPr>
      </w:pPr>
    </w:p>
    <w:p w:rsidR="00C360AE" w:rsidRDefault="00C360AE" w:rsidP="00B42907">
      <w:pPr>
        <w:pStyle w:val="corps-p1"/>
        <w:spacing w:before="0"/>
        <w:rPr>
          <w:rStyle w:val="corps-c21"/>
          <w:rFonts w:ascii="Arial" w:hAnsi="Arial" w:cs="Arial"/>
        </w:rPr>
      </w:pPr>
      <w:r>
        <w:rPr>
          <w:rStyle w:val="corps-c21"/>
          <w:rFonts w:ascii="Arial" w:hAnsi="Arial" w:cs="Arial"/>
          <w:b/>
          <w:sz w:val="24"/>
          <w:szCs w:val="24"/>
          <w:u w:val="single"/>
        </w:rPr>
        <w:t>Ce que l’on attend de l’élève :</w:t>
      </w:r>
    </w:p>
    <w:p w:rsidR="00C360AE" w:rsidRDefault="00C360AE" w:rsidP="00B42907">
      <w:pPr>
        <w:pStyle w:val="corps-p1"/>
        <w:spacing w:before="0"/>
        <w:rPr>
          <w:rStyle w:val="corps-c21"/>
          <w:rFonts w:ascii="Arial" w:hAnsi="Arial" w:cs="Arial"/>
        </w:rPr>
      </w:pPr>
    </w:p>
    <w:p w:rsidR="00C360AE" w:rsidRDefault="00C360AE" w:rsidP="00B42907">
      <w:pPr>
        <w:pStyle w:val="corps-p1"/>
        <w:spacing w:before="0"/>
        <w:rPr>
          <w:rStyle w:val="corps-c21"/>
          <w:rFonts w:ascii="Arial" w:hAnsi="Arial" w:cs="Arial"/>
        </w:rPr>
      </w:pPr>
      <w:r>
        <w:rPr>
          <w:rStyle w:val="corps-c21"/>
          <w:rFonts w:ascii="Arial" w:hAnsi="Arial" w:cs="Arial"/>
        </w:rPr>
        <w:t>Sur des systèmes rendant le même service, un classique et un développement durable, l’élève doit-être capable :</w:t>
      </w:r>
    </w:p>
    <w:p w:rsidR="00C360AE" w:rsidRDefault="00C360AE" w:rsidP="00A12473">
      <w:pPr>
        <w:pStyle w:val="corps-p1"/>
        <w:numPr>
          <w:ilvl w:val="0"/>
          <w:numId w:val="2"/>
        </w:numPr>
        <w:spacing w:before="0"/>
        <w:rPr>
          <w:rStyle w:val="corps-c21"/>
          <w:rFonts w:ascii="Arial" w:hAnsi="Arial" w:cs="Arial"/>
        </w:rPr>
      </w:pPr>
      <w:r>
        <w:rPr>
          <w:rStyle w:val="corps-c21"/>
          <w:rFonts w:ascii="Arial" w:hAnsi="Arial" w:cs="Arial"/>
        </w:rPr>
        <w:t xml:space="preserve">Quantifier les impacts environnementaux  principaux sur le système principal et les systèmes de soutien. </w:t>
      </w:r>
    </w:p>
    <w:p w:rsidR="00C360AE" w:rsidRDefault="00C360AE" w:rsidP="00A12473">
      <w:pPr>
        <w:pStyle w:val="corps-p1"/>
        <w:numPr>
          <w:ilvl w:val="0"/>
          <w:numId w:val="2"/>
        </w:numPr>
        <w:spacing w:before="0"/>
        <w:rPr>
          <w:rStyle w:val="corps-c21"/>
          <w:rFonts w:ascii="Arial" w:hAnsi="Arial" w:cs="Arial"/>
        </w:rPr>
      </w:pPr>
      <w:r>
        <w:rPr>
          <w:rStyle w:val="corps-c21"/>
          <w:rFonts w:ascii="Arial" w:hAnsi="Arial" w:cs="Arial"/>
        </w:rPr>
        <w:t>Quantifier les coûts globaux.</w:t>
      </w:r>
    </w:p>
    <w:p w:rsidR="00C360AE" w:rsidRDefault="00C360AE" w:rsidP="00A12473">
      <w:pPr>
        <w:pStyle w:val="corps-p1"/>
        <w:numPr>
          <w:ilvl w:val="0"/>
          <w:numId w:val="2"/>
        </w:numPr>
        <w:spacing w:before="0"/>
        <w:rPr>
          <w:rStyle w:val="corps-c21"/>
          <w:rFonts w:ascii="Arial" w:hAnsi="Arial" w:cs="Arial"/>
        </w:rPr>
      </w:pPr>
      <w:r>
        <w:rPr>
          <w:rStyle w:val="corps-c21"/>
          <w:rFonts w:ascii="Arial" w:hAnsi="Arial" w:cs="Arial"/>
        </w:rPr>
        <w:t>D’argumenter sur les choix.</w:t>
      </w:r>
    </w:p>
    <w:p w:rsidR="00C360AE" w:rsidRDefault="00C360AE" w:rsidP="00B42907">
      <w:pPr>
        <w:pStyle w:val="corps-p1"/>
        <w:spacing w:before="0"/>
        <w:rPr>
          <w:rStyle w:val="corps-c21"/>
          <w:rFonts w:ascii="Arial" w:hAnsi="Arial" w:cs="Arial"/>
        </w:rPr>
      </w:pPr>
    </w:p>
    <w:p w:rsidR="00C360AE" w:rsidRPr="00490A73" w:rsidRDefault="00C360AE" w:rsidP="00B42907">
      <w:pPr>
        <w:pStyle w:val="corps-p1"/>
        <w:spacing w:before="0"/>
        <w:rPr>
          <w:rStyle w:val="corps-c21"/>
          <w:rFonts w:ascii="Arial" w:hAnsi="Arial" w:cs="Arial"/>
        </w:rPr>
      </w:pPr>
      <w:r w:rsidRPr="00490A73">
        <w:rPr>
          <w:rStyle w:val="corps-c21"/>
          <w:rFonts w:ascii="Arial" w:hAnsi="Arial" w:cs="Arial"/>
          <w:b/>
          <w:sz w:val="24"/>
          <w:szCs w:val="24"/>
          <w:u w:val="single"/>
        </w:rPr>
        <w:t>Coût global d’un système :</w:t>
      </w:r>
    </w:p>
    <w:p w:rsidR="00C360AE" w:rsidRPr="008436F2" w:rsidRDefault="00C360AE" w:rsidP="00B42907">
      <w:pPr>
        <w:pStyle w:val="corps-p1"/>
        <w:spacing w:before="0"/>
        <w:rPr>
          <w:rStyle w:val="corps-c21"/>
          <w:rFonts w:ascii="Arial" w:hAnsi="Arial" w:cs="Arial"/>
        </w:rPr>
      </w:pPr>
    </w:p>
    <w:p w:rsidR="00C360AE" w:rsidRDefault="00C360AE" w:rsidP="00B42907">
      <w:pPr>
        <w:pStyle w:val="corps-p1"/>
        <w:spacing w:before="0"/>
        <w:rPr>
          <w:rStyle w:val="corps-c21"/>
          <w:rFonts w:ascii="Arial" w:hAnsi="Arial" w:cs="Arial"/>
        </w:rPr>
      </w:pPr>
      <w:r w:rsidRPr="00B42907">
        <w:rPr>
          <w:rStyle w:val="corps-c21"/>
          <w:rFonts w:ascii="Arial" w:hAnsi="Arial" w:cs="Arial"/>
        </w:rPr>
        <w:t>Le coût d'un systèm</w:t>
      </w:r>
      <w:r>
        <w:rPr>
          <w:rStyle w:val="corps-c21"/>
          <w:rFonts w:ascii="Arial" w:hAnsi="Arial" w:cs="Arial"/>
        </w:rPr>
        <w:t>e</w:t>
      </w:r>
      <w:r w:rsidRPr="00B42907">
        <w:rPr>
          <w:rStyle w:val="corps-c21"/>
          <w:rFonts w:ascii="Arial" w:hAnsi="Arial" w:cs="Arial"/>
        </w:rPr>
        <w:t xml:space="preserve"> ne se limite pas aux dépenses engagées pour produire, construire ou acquérir le bien considéré.</w:t>
      </w:r>
      <w:r>
        <w:rPr>
          <w:rStyle w:val="corps-c21"/>
          <w:rFonts w:ascii="Arial" w:hAnsi="Arial" w:cs="Arial"/>
        </w:rPr>
        <w:t>il faut aussi considérer les :</w:t>
      </w:r>
    </w:p>
    <w:p w:rsidR="00C360AE" w:rsidRPr="00B42907" w:rsidRDefault="00C360AE" w:rsidP="00B42907">
      <w:pPr>
        <w:pStyle w:val="corps-p1"/>
        <w:spacing w:before="0"/>
        <w:rPr>
          <w:rFonts w:ascii="Arial" w:hAnsi="Arial" w:cs="Arial"/>
        </w:rPr>
      </w:pPr>
    </w:p>
    <w:p w:rsidR="00C360AE" w:rsidRPr="00E30DE6" w:rsidRDefault="00C360AE" w:rsidP="00490A73">
      <w:pPr>
        <w:numPr>
          <w:ilvl w:val="0"/>
          <w:numId w:val="6"/>
        </w:numPr>
        <w:spacing w:before="75" w:after="15" w:line="270" w:lineRule="atLeast"/>
        <w:ind w:right="300"/>
        <w:rPr>
          <w:rFonts w:ascii="Wingdings" w:hAnsi="Wingdings"/>
          <w:color w:val="000000"/>
          <w:szCs w:val="20"/>
          <w:lang w:eastAsia="fr-FR"/>
        </w:rPr>
      </w:pPr>
      <w:r w:rsidRPr="00E30DE6">
        <w:rPr>
          <w:rFonts w:cs="Arial"/>
          <w:color w:val="000000"/>
          <w:lang w:eastAsia="fr-FR"/>
        </w:rPr>
        <w:t>Études</w:t>
      </w:r>
      <w:r w:rsidRPr="00E30DE6">
        <w:rPr>
          <w:rFonts w:ascii="Wingdings" w:hAnsi="Wingdings"/>
          <w:color w:val="000000"/>
          <w:szCs w:val="20"/>
          <w:lang w:eastAsia="fr-FR"/>
        </w:rPr>
        <w:t></w:t>
      </w:r>
    </w:p>
    <w:p w:rsidR="00C360AE" w:rsidRPr="00E30DE6" w:rsidRDefault="00C360AE" w:rsidP="00490A73">
      <w:pPr>
        <w:numPr>
          <w:ilvl w:val="0"/>
          <w:numId w:val="6"/>
        </w:numPr>
        <w:spacing w:before="75" w:after="15" w:line="270" w:lineRule="atLeast"/>
        <w:ind w:right="300"/>
        <w:rPr>
          <w:rFonts w:ascii="Wingdings" w:hAnsi="Wingdings"/>
          <w:color w:val="000000"/>
          <w:szCs w:val="20"/>
          <w:lang w:eastAsia="fr-FR"/>
        </w:rPr>
      </w:pPr>
      <w:r w:rsidRPr="00E30DE6">
        <w:rPr>
          <w:rFonts w:cs="Arial"/>
          <w:color w:val="000000"/>
          <w:lang w:eastAsia="fr-FR"/>
        </w:rPr>
        <w:t>Investissements, frais financiers</w:t>
      </w:r>
      <w:r w:rsidRPr="00E30DE6">
        <w:rPr>
          <w:rFonts w:ascii="Wingdings" w:hAnsi="Wingdings"/>
          <w:color w:val="000000"/>
          <w:szCs w:val="20"/>
          <w:lang w:eastAsia="fr-FR"/>
        </w:rPr>
        <w:t></w:t>
      </w:r>
    </w:p>
    <w:p w:rsidR="00C360AE" w:rsidRPr="00E30DE6" w:rsidRDefault="00C360AE" w:rsidP="00490A73">
      <w:pPr>
        <w:numPr>
          <w:ilvl w:val="0"/>
          <w:numId w:val="6"/>
        </w:numPr>
        <w:spacing w:before="75" w:after="15" w:line="270" w:lineRule="atLeast"/>
        <w:ind w:right="300"/>
        <w:rPr>
          <w:rFonts w:ascii="Wingdings" w:hAnsi="Wingdings"/>
          <w:color w:val="000000"/>
          <w:szCs w:val="20"/>
          <w:lang w:eastAsia="fr-FR"/>
        </w:rPr>
      </w:pPr>
      <w:r w:rsidRPr="00E30DE6">
        <w:rPr>
          <w:rFonts w:cs="Arial"/>
          <w:color w:val="000000"/>
          <w:lang w:eastAsia="fr-FR"/>
        </w:rPr>
        <w:t>Installation, mise en service</w:t>
      </w:r>
      <w:r w:rsidRPr="00E30DE6">
        <w:rPr>
          <w:rFonts w:ascii="Wingdings" w:hAnsi="Wingdings"/>
          <w:color w:val="000000"/>
          <w:szCs w:val="20"/>
          <w:lang w:eastAsia="fr-FR"/>
        </w:rPr>
        <w:t></w:t>
      </w:r>
    </w:p>
    <w:p w:rsidR="00C360AE" w:rsidRPr="00E30DE6" w:rsidRDefault="00C360AE" w:rsidP="00490A73">
      <w:pPr>
        <w:numPr>
          <w:ilvl w:val="0"/>
          <w:numId w:val="6"/>
        </w:numPr>
        <w:spacing w:before="75" w:after="15" w:line="270" w:lineRule="atLeast"/>
        <w:ind w:right="300"/>
        <w:rPr>
          <w:rFonts w:ascii="Wingdings" w:hAnsi="Wingdings"/>
          <w:color w:val="000000"/>
          <w:szCs w:val="20"/>
          <w:lang w:eastAsia="fr-FR"/>
        </w:rPr>
      </w:pPr>
      <w:r w:rsidRPr="00E30DE6">
        <w:rPr>
          <w:rFonts w:cs="Arial"/>
          <w:color w:val="000000"/>
          <w:lang w:eastAsia="fr-FR"/>
        </w:rPr>
        <w:t>Exploitation</w:t>
      </w:r>
      <w:r w:rsidRPr="00E30DE6">
        <w:rPr>
          <w:rFonts w:ascii="Wingdings" w:hAnsi="Wingdings"/>
          <w:color w:val="000000"/>
          <w:szCs w:val="20"/>
          <w:lang w:eastAsia="fr-FR"/>
        </w:rPr>
        <w:t></w:t>
      </w:r>
    </w:p>
    <w:p w:rsidR="00C360AE" w:rsidRPr="00E30DE6" w:rsidRDefault="00C360AE" w:rsidP="00490A73">
      <w:pPr>
        <w:numPr>
          <w:ilvl w:val="0"/>
          <w:numId w:val="6"/>
        </w:numPr>
        <w:spacing w:before="75" w:after="15" w:line="270" w:lineRule="atLeast"/>
        <w:ind w:right="300"/>
        <w:rPr>
          <w:rFonts w:ascii="Wingdings" w:hAnsi="Wingdings"/>
          <w:color w:val="000000"/>
          <w:szCs w:val="20"/>
          <w:lang w:eastAsia="fr-FR"/>
        </w:rPr>
      </w:pPr>
      <w:r w:rsidRPr="00E30DE6">
        <w:rPr>
          <w:rFonts w:cs="Arial"/>
          <w:color w:val="000000"/>
          <w:lang w:eastAsia="fr-FR"/>
        </w:rPr>
        <w:t>Soutien logistique (entretien courant, maintenances préventive et corrective...)</w:t>
      </w:r>
      <w:r>
        <w:rPr>
          <w:rFonts w:cs="Arial"/>
          <w:color w:val="000000"/>
          <w:lang w:eastAsia="fr-FR"/>
        </w:rPr>
        <w:t>.</w:t>
      </w:r>
      <w:r w:rsidRPr="00E30DE6">
        <w:rPr>
          <w:rFonts w:ascii="Wingdings" w:hAnsi="Wingdings"/>
          <w:color w:val="000000"/>
          <w:szCs w:val="20"/>
          <w:lang w:eastAsia="fr-FR"/>
        </w:rPr>
        <w:t></w:t>
      </w:r>
    </w:p>
    <w:p w:rsidR="00C360AE" w:rsidRPr="00E30DE6" w:rsidRDefault="00C360AE" w:rsidP="00490A73">
      <w:pPr>
        <w:numPr>
          <w:ilvl w:val="0"/>
          <w:numId w:val="6"/>
        </w:numPr>
        <w:spacing w:before="75" w:after="15" w:line="270" w:lineRule="atLeast"/>
        <w:ind w:right="300"/>
        <w:rPr>
          <w:rFonts w:ascii="Wingdings" w:hAnsi="Wingdings"/>
          <w:color w:val="000000"/>
          <w:szCs w:val="20"/>
          <w:lang w:eastAsia="fr-FR"/>
        </w:rPr>
      </w:pPr>
      <w:r w:rsidRPr="00E30DE6">
        <w:rPr>
          <w:rFonts w:cs="Arial"/>
          <w:color w:val="000000"/>
          <w:lang w:eastAsia="fr-FR"/>
        </w:rPr>
        <w:t>Coûts de structure et autres coûts indirects</w:t>
      </w:r>
      <w:r w:rsidRPr="00E30DE6">
        <w:rPr>
          <w:rFonts w:ascii="Wingdings" w:hAnsi="Wingdings"/>
          <w:color w:val="000000"/>
          <w:szCs w:val="20"/>
          <w:lang w:eastAsia="fr-FR"/>
        </w:rPr>
        <w:t></w:t>
      </w:r>
    </w:p>
    <w:p w:rsidR="00C360AE" w:rsidRPr="00E30DE6" w:rsidRDefault="00C360AE" w:rsidP="00490A73">
      <w:pPr>
        <w:numPr>
          <w:ilvl w:val="0"/>
          <w:numId w:val="6"/>
        </w:numPr>
        <w:spacing w:before="75" w:after="15" w:line="270" w:lineRule="atLeast"/>
        <w:ind w:right="300"/>
        <w:rPr>
          <w:rFonts w:ascii="Wingdings" w:hAnsi="Wingdings"/>
          <w:color w:val="000000"/>
          <w:szCs w:val="20"/>
          <w:lang w:eastAsia="fr-FR"/>
        </w:rPr>
      </w:pPr>
      <w:r w:rsidRPr="00E30DE6">
        <w:rPr>
          <w:rFonts w:cs="Arial"/>
          <w:color w:val="000000"/>
          <w:lang w:eastAsia="fr-FR"/>
        </w:rPr>
        <w:t>Gestion du projet</w:t>
      </w:r>
      <w:r w:rsidRPr="00E30DE6">
        <w:rPr>
          <w:rFonts w:ascii="Wingdings" w:hAnsi="Wingdings"/>
          <w:color w:val="000000"/>
          <w:szCs w:val="20"/>
          <w:lang w:eastAsia="fr-FR"/>
        </w:rPr>
        <w:t></w:t>
      </w:r>
    </w:p>
    <w:p w:rsidR="00C360AE" w:rsidRPr="00E30DE6" w:rsidRDefault="00C360AE" w:rsidP="00490A73">
      <w:pPr>
        <w:numPr>
          <w:ilvl w:val="0"/>
          <w:numId w:val="6"/>
        </w:numPr>
        <w:spacing w:before="75" w:after="15" w:line="270" w:lineRule="atLeast"/>
        <w:ind w:right="300"/>
        <w:rPr>
          <w:rFonts w:ascii="Wingdings" w:hAnsi="Wingdings"/>
          <w:color w:val="000000"/>
          <w:szCs w:val="20"/>
          <w:lang w:eastAsia="fr-FR"/>
        </w:rPr>
      </w:pPr>
      <w:r w:rsidRPr="00E30DE6">
        <w:rPr>
          <w:rFonts w:cs="Arial"/>
          <w:color w:val="000000"/>
          <w:lang w:eastAsia="fr-FR"/>
        </w:rPr>
        <w:t>Taxes, impôts</w:t>
      </w:r>
      <w:r w:rsidRPr="00E30DE6">
        <w:rPr>
          <w:rFonts w:ascii="Wingdings" w:hAnsi="Wingdings"/>
          <w:color w:val="000000"/>
          <w:szCs w:val="20"/>
          <w:lang w:eastAsia="fr-FR"/>
        </w:rPr>
        <w:t></w:t>
      </w:r>
    </w:p>
    <w:p w:rsidR="00C360AE" w:rsidRPr="00E30DE6" w:rsidRDefault="00C360AE" w:rsidP="00490A73">
      <w:pPr>
        <w:numPr>
          <w:ilvl w:val="0"/>
          <w:numId w:val="6"/>
        </w:numPr>
        <w:spacing w:before="75" w:after="15" w:line="270" w:lineRule="atLeast"/>
        <w:ind w:right="300"/>
        <w:rPr>
          <w:rFonts w:ascii="Wingdings" w:hAnsi="Wingdings"/>
          <w:color w:val="000000"/>
          <w:szCs w:val="20"/>
          <w:lang w:eastAsia="fr-FR"/>
        </w:rPr>
      </w:pPr>
      <w:r w:rsidRPr="00E30DE6">
        <w:rPr>
          <w:rFonts w:cs="Arial"/>
          <w:color w:val="000000"/>
          <w:lang w:eastAsia="fr-FR"/>
        </w:rPr>
        <w:t>Assurances</w:t>
      </w:r>
      <w:r w:rsidRPr="00E30DE6">
        <w:rPr>
          <w:rFonts w:ascii="Wingdings" w:hAnsi="Wingdings"/>
          <w:color w:val="000000"/>
          <w:szCs w:val="20"/>
          <w:lang w:eastAsia="fr-FR"/>
        </w:rPr>
        <w:t></w:t>
      </w:r>
    </w:p>
    <w:p w:rsidR="00C360AE" w:rsidRPr="00E30DE6" w:rsidRDefault="00C360AE" w:rsidP="00490A73">
      <w:pPr>
        <w:numPr>
          <w:ilvl w:val="0"/>
          <w:numId w:val="6"/>
        </w:numPr>
        <w:spacing w:before="75" w:after="15" w:line="270" w:lineRule="atLeast"/>
        <w:ind w:right="300"/>
        <w:rPr>
          <w:rFonts w:ascii="Wingdings" w:hAnsi="Wingdings"/>
          <w:color w:val="000000"/>
          <w:szCs w:val="20"/>
          <w:lang w:eastAsia="fr-FR"/>
        </w:rPr>
      </w:pPr>
      <w:r w:rsidRPr="00E30DE6">
        <w:rPr>
          <w:rFonts w:cs="Arial"/>
          <w:color w:val="000000"/>
          <w:lang w:eastAsia="fr-FR"/>
        </w:rPr>
        <w:t>Retrait de service, démantèlement ou valeur résiduelle</w:t>
      </w:r>
    </w:p>
    <w:p w:rsidR="00C360AE" w:rsidRDefault="00C360AE" w:rsidP="00490A73">
      <w:pPr>
        <w:ind w:left="360"/>
      </w:pPr>
    </w:p>
    <w:p w:rsidR="00C360AE" w:rsidRDefault="00C360AE" w:rsidP="008C3D7F"/>
    <w:p w:rsidR="00C360AE" w:rsidRDefault="00C360AE" w:rsidP="008C3D7F"/>
    <w:p w:rsidR="00C360AE" w:rsidRDefault="00C360AE" w:rsidP="008C3D7F"/>
    <w:p w:rsidR="00C360AE" w:rsidRDefault="00C360AE" w:rsidP="00F4057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7pt;height:151.5pt">
            <v:imagedata r:id="rId7" r:href="rId8"/>
          </v:shape>
        </w:pict>
      </w:r>
    </w:p>
    <w:p w:rsidR="00C360AE" w:rsidRDefault="00C360AE" w:rsidP="00F4057D">
      <w:pPr>
        <w:jc w:val="center"/>
      </w:pPr>
    </w:p>
    <w:p w:rsidR="00C360AE" w:rsidRDefault="00C360AE" w:rsidP="00F4057D">
      <w:pPr>
        <w:jc w:val="center"/>
      </w:pPr>
    </w:p>
    <w:p w:rsidR="00C360AE" w:rsidRDefault="00C360AE" w:rsidP="00F4057D">
      <w:pPr>
        <w:jc w:val="center"/>
      </w:pPr>
    </w:p>
    <w:p w:rsidR="00C360AE" w:rsidRDefault="00C360AE" w:rsidP="00F4057D">
      <w:pPr>
        <w:jc w:val="center"/>
      </w:pPr>
    </w:p>
    <w:p w:rsidR="00C360AE" w:rsidRDefault="00C360AE" w:rsidP="005B5958">
      <w:pPr>
        <w:pStyle w:val="corps-p1"/>
        <w:spacing w:before="0"/>
      </w:pPr>
      <w:r>
        <w:rPr>
          <w:rStyle w:val="listepuces2-c1"/>
        </w:rPr>
        <w:t xml:space="preserve">Le </w:t>
      </w:r>
      <w:r>
        <w:rPr>
          <w:rStyle w:val="corp3-c01"/>
        </w:rPr>
        <w:t>système</w:t>
      </w:r>
      <w:r>
        <w:rPr>
          <w:rStyle w:val="listepuces2-c1"/>
        </w:rPr>
        <w:t xml:space="preserve"> est décomposé en système principal et </w:t>
      </w:r>
      <w:r w:rsidRPr="005B5958">
        <w:rPr>
          <w:rStyle w:val="listepuces2-c1"/>
        </w:rPr>
        <w:t>éléments de soutien</w:t>
      </w:r>
      <w:r>
        <w:rPr>
          <w:rStyle w:val="listepuces2-c1"/>
        </w:rPr>
        <w:t xml:space="preserve"> (moyens de maintenance, moyens de formation, infrastructures, documentation et données, rechanges, etc.)</w:t>
      </w:r>
    </w:p>
    <w:p w:rsidR="00C360AE" w:rsidRDefault="00C360AE" w:rsidP="005B5958">
      <w:pPr>
        <w:pStyle w:val="corps-p1"/>
      </w:pPr>
      <w:r>
        <w:rPr>
          <w:rStyle w:val="listepuces2-c1"/>
        </w:rPr>
        <w:t xml:space="preserve">Les </w:t>
      </w:r>
      <w:r>
        <w:rPr>
          <w:rStyle w:val="corp3-c01"/>
        </w:rPr>
        <w:t>activités</w:t>
      </w:r>
      <w:r>
        <w:rPr>
          <w:rStyle w:val="listepuces2-c1"/>
        </w:rPr>
        <w:t xml:space="preserve"> couvrent les phases de conception/réalisation (Management, ingénierie, fabrication, intégration, essais, installation sur site...) et d’utilisation (Exploitation, maintenance, réapprovisionnement, formation continue, ingénierie de soutien...).</w:t>
      </w:r>
    </w:p>
    <w:p w:rsidR="00C360AE" w:rsidRDefault="00C360AE" w:rsidP="005B5958">
      <w:pPr>
        <w:pStyle w:val="corps-p1"/>
      </w:pPr>
      <w:r>
        <w:rPr>
          <w:rStyle w:val="listepuces2-c1"/>
        </w:rPr>
        <w:t xml:space="preserve">Les </w:t>
      </w:r>
      <w:r>
        <w:rPr>
          <w:rStyle w:val="corp3-c01"/>
        </w:rPr>
        <w:t>ressources</w:t>
      </w:r>
      <w:r>
        <w:rPr>
          <w:rStyle w:val="listepuces2-c1"/>
        </w:rPr>
        <w:t xml:space="preserve"> incluent les différentes catégories de personnels, les consommables, les moyens communs et les services dans le cas d’activités externalisées ou sous-traitées.</w:t>
      </w:r>
    </w:p>
    <w:p w:rsidR="00C360AE" w:rsidRDefault="00C360AE" w:rsidP="00C45241"/>
    <w:p w:rsidR="00C360AE" w:rsidRDefault="00C360AE" w:rsidP="00C45241"/>
    <w:p w:rsidR="00C360AE" w:rsidRDefault="00C360AE" w:rsidP="00C45241">
      <w:r>
        <w:t>Optimisation du cout global :</w:t>
      </w:r>
    </w:p>
    <w:p w:rsidR="00C360AE" w:rsidRDefault="00C360AE" w:rsidP="005B5958"/>
    <w:p w:rsidR="00C360AE" w:rsidRDefault="00C360AE" w:rsidP="008C3D7F"/>
    <w:p w:rsidR="00C360AE" w:rsidRDefault="00C360AE" w:rsidP="008C3D7F">
      <w:r>
        <w:pict>
          <v:shape id="_x0000_i1026" type="#_x0000_t75" alt="" style="width:321pt;height:204.75pt">
            <v:imagedata r:id="rId9" r:href="rId10"/>
          </v:shape>
        </w:pict>
      </w:r>
    </w:p>
    <w:p w:rsidR="00C360AE" w:rsidRDefault="00C360AE" w:rsidP="008C3D7F"/>
    <w:p w:rsidR="00C360AE" w:rsidRDefault="00C360AE" w:rsidP="008C3D7F">
      <w:r>
        <w:t>C’est dans les phases I (conception), II (développement), III (production) des phases du cycle de vie que les marges d’optimisations sont les plus grandes.</w:t>
      </w:r>
    </w:p>
    <w:p w:rsidR="00C360AE" w:rsidRDefault="00C360AE" w:rsidP="008C3D7F"/>
    <w:sectPr w:rsidR="00C360AE" w:rsidSect="008C3D7F">
      <w:headerReference w:type="default" r:id="rId11"/>
      <w:footerReference w:type="default" r:id="rId12"/>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0AE" w:rsidRDefault="00C360AE" w:rsidP="008C3D7F">
      <w:r>
        <w:separator/>
      </w:r>
    </w:p>
  </w:endnote>
  <w:endnote w:type="continuationSeparator" w:id="0">
    <w:p w:rsidR="00C360AE" w:rsidRDefault="00C360AE" w:rsidP="008C3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0AE" w:rsidRDefault="00C360AE" w:rsidP="0061561F">
    <w:pPr>
      <w:pStyle w:val="Footer"/>
      <w:pBdr>
        <w:top w:val="thinThickSmallGap" w:sz="24" w:space="1" w:color="622423"/>
      </w:pBdr>
      <w:tabs>
        <w:tab w:val="clear" w:pos="4536"/>
        <w:tab w:val="clear" w:pos="9072"/>
        <w:tab w:val="right" w:pos="9638"/>
      </w:tabs>
      <w:rPr>
        <w:rFonts w:ascii="Cambria" w:hAnsi="Cambria"/>
      </w:rPr>
    </w:pPr>
    <w:r>
      <w:t>E.E.-2.5</w:t>
    </w:r>
    <w:r w:rsidRPr="00DA6E81">
      <w:t>_</w:t>
    </w:r>
    <w:r>
      <w:t>2</w:t>
    </w:r>
    <w:r w:rsidRPr="00AD44D3">
      <w:rPr>
        <w:rFonts w:cs="Arial"/>
      </w:rPr>
      <w:tab/>
      <w:t>Page</w:t>
    </w:r>
    <w:r>
      <w:rPr>
        <w:rFonts w:ascii="Cambria" w:hAnsi="Cambria"/>
      </w:rPr>
      <w:t xml:space="preserve"> </w:t>
    </w:r>
    <w:r w:rsidRPr="00AD44D3">
      <w:rPr>
        <w:rFonts w:cs="Arial"/>
      </w:rPr>
      <w:fldChar w:fldCharType="begin"/>
    </w:r>
    <w:r w:rsidRPr="00AD44D3">
      <w:rPr>
        <w:rFonts w:cs="Arial"/>
      </w:rPr>
      <w:instrText xml:space="preserve"> PAGE   \* MERGEFORMAT </w:instrText>
    </w:r>
    <w:r w:rsidRPr="00AD44D3">
      <w:rPr>
        <w:rFonts w:cs="Arial"/>
      </w:rPr>
      <w:fldChar w:fldCharType="separate"/>
    </w:r>
    <w:r>
      <w:rPr>
        <w:rFonts w:cs="Arial"/>
        <w:noProof/>
      </w:rPr>
      <w:t>2</w:t>
    </w:r>
    <w:r w:rsidRPr="00AD44D3">
      <w:rPr>
        <w:rFonts w:cs="Arial"/>
      </w:rPr>
      <w:fldChar w:fldCharType="end"/>
    </w:r>
  </w:p>
  <w:p w:rsidR="00C360AE" w:rsidRDefault="00C360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0AE" w:rsidRDefault="00C360AE" w:rsidP="008C3D7F">
      <w:r>
        <w:separator/>
      </w:r>
    </w:p>
  </w:footnote>
  <w:footnote w:type="continuationSeparator" w:id="0">
    <w:p w:rsidR="00C360AE" w:rsidRDefault="00C360AE" w:rsidP="008C3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0AE" w:rsidRPr="008C3D7F" w:rsidRDefault="00C360AE">
    <w:pPr>
      <w:pStyle w:val="Header"/>
      <w:pBdr>
        <w:bottom w:val="thickThinSmallGap" w:sz="24" w:space="1" w:color="622423"/>
      </w:pBdr>
      <w:jc w:val="center"/>
      <w:rPr>
        <w:rFonts w:ascii="Cambria" w:hAnsi="Cambria"/>
        <w:sz w:val="48"/>
        <w:szCs w:val="32"/>
      </w:rPr>
    </w:pPr>
    <w:r w:rsidRPr="008C3D7F">
      <w:rPr>
        <w:b/>
        <w:sz w:val="32"/>
      </w:rPr>
      <w:t xml:space="preserve">Spécialité </w:t>
    </w:r>
    <w:r>
      <w:rPr>
        <w:b/>
        <w:sz w:val="32"/>
      </w:rPr>
      <w:t>E.E</w:t>
    </w:r>
    <w:r w:rsidRPr="008C3D7F">
      <w:rPr>
        <w:b/>
        <w:sz w:val="32"/>
      </w:rPr>
      <w:t>.</w:t>
    </w:r>
  </w:p>
  <w:p w:rsidR="00C360AE" w:rsidRDefault="00C360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853C2"/>
    <w:multiLevelType w:val="multilevel"/>
    <w:tmpl w:val="040C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35F54722"/>
    <w:multiLevelType w:val="hybridMultilevel"/>
    <w:tmpl w:val="577A5150"/>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
    <w:nsid w:val="3BF72C17"/>
    <w:multiLevelType w:val="hybridMultilevel"/>
    <w:tmpl w:val="79786E1A"/>
    <w:lvl w:ilvl="0" w:tplc="040C0001">
      <w:start w:val="1"/>
      <w:numFmt w:val="bullet"/>
      <w:lvlText w:val=""/>
      <w:lvlJc w:val="left"/>
      <w:pPr>
        <w:tabs>
          <w:tab w:val="num" w:pos="930"/>
        </w:tabs>
        <w:ind w:left="930" w:hanging="360"/>
      </w:pPr>
      <w:rPr>
        <w:rFonts w:ascii="Symbol" w:hAnsi="Symbol" w:hint="default"/>
      </w:rPr>
    </w:lvl>
    <w:lvl w:ilvl="1" w:tplc="040C0003" w:tentative="1">
      <w:start w:val="1"/>
      <w:numFmt w:val="bullet"/>
      <w:lvlText w:val="o"/>
      <w:lvlJc w:val="left"/>
      <w:pPr>
        <w:tabs>
          <w:tab w:val="num" w:pos="1650"/>
        </w:tabs>
        <w:ind w:left="1650" w:hanging="360"/>
      </w:pPr>
      <w:rPr>
        <w:rFonts w:ascii="Courier New" w:hAnsi="Courier New" w:hint="default"/>
      </w:rPr>
    </w:lvl>
    <w:lvl w:ilvl="2" w:tplc="040C0005" w:tentative="1">
      <w:start w:val="1"/>
      <w:numFmt w:val="bullet"/>
      <w:lvlText w:val=""/>
      <w:lvlJc w:val="left"/>
      <w:pPr>
        <w:tabs>
          <w:tab w:val="num" w:pos="2370"/>
        </w:tabs>
        <w:ind w:left="2370" w:hanging="360"/>
      </w:pPr>
      <w:rPr>
        <w:rFonts w:ascii="Wingdings" w:hAnsi="Wingdings" w:hint="default"/>
      </w:rPr>
    </w:lvl>
    <w:lvl w:ilvl="3" w:tplc="040C0001" w:tentative="1">
      <w:start w:val="1"/>
      <w:numFmt w:val="bullet"/>
      <w:lvlText w:val=""/>
      <w:lvlJc w:val="left"/>
      <w:pPr>
        <w:tabs>
          <w:tab w:val="num" w:pos="3090"/>
        </w:tabs>
        <w:ind w:left="3090" w:hanging="360"/>
      </w:pPr>
      <w:rPr>
        <w:rFonts w:ascii="Symbol" w:hAnsi="Symbol" w:hint="default"/>
      </w:rPr>
    </w:lvl>
    <w:lvl w:ilvl="4" w:tplc="040C0003" w:tentative="1">
      <w:start w:val="1"/>
      <w:numFmt w:val="bullet"/>
      <w:lvlText w:val="o"/>
      <w:lvlJc w:val="left"/>
      <w:pPr>
        <w:tabs>
          <w:tab w:val="num" w:pos="3810"/>
        </w:tabs>
        <w:ind w:left="3810" w:hanging="360"/>
      </w:pPr>
      <w:rPr>
        <w:rFonts w:ascii="Courier New" w:hAnsi="Courier New" w:hint="default"/>
      </w:rPr>
    </w:lvl>
    <w:lvl w:ilvl="5" w:tplc="040C0005" w:tentative="1">
      <w:start w:val="1"/>
      <w:numFmt w:val="bullet"/>
      <w:lvlText w:val=""/>
      <w:lvlJc w:val="left"/>
      <w:pPr>
        <w:tabs>
          <w:tab w:val="num" w:pos="4530"/>
        </w:tabs>
        <w:ind w:left="4530" w:hanging="360"/>
      </w:pPr>
      <w:rPr>
        <w:rFonts w:ascii="Wingdings" w:hAnsi="Wingdings" w:hint="default"/>
      </w:rPr>
    </w:lvl>
    <w:lvl w:ilvl="6" w:tplc="040C0001" w:tentative="1">
      <w:start w:val="1"/>
      <w:numFmt w:val="bullet"/>
      <w:lvlText w:val=""/>
      <w:lvlJc w:val="left"/>
      <w:pPr>
        <w:tabs>
          <w:tab w:val="num" w:pos="5250"/>
        </w:tabs>
        <w:ind w:left="5250" w:hanging="360"/>
      </w:pPr>
      <w:rPr>
        <w:rFonts w:ascii="Symbol" w:hAnsi="Symbol" w:hint="default"/>
      </w:rPr>
    </w:lvl>
    <w:lvl w:ilvl="7" w:tplc="040C0003" w:tentative="1">
      <w:start w:val="1"/>
      <w:numFmt w:val="bullet"/>
      <w:lvlText w:val="o"/>
      <w:lvlJc w:val="left"/>
      <w:pPr>
        <w:tabs>
          <w:tab w:val="num" w:pos="5970"/>
        </w:tabs>
        <w:ind w:left="5970" w:hanging="360"/>
      </w:pPr>
      <w:rPr>
        <w:rFonts w:ascii="Courier New" w:hAnsi="Courier New" w:hint="default"/>
      </w:rPr>
    </w:lvl>
    <w:lvl w:ilvl="8" w:tplc="040C0005" w:tentative="1">
      <w:start w:val="1"/>
      <w:numFmt w:val="bullet"/>
      <w:lvlText w:val=""/>
      <w:lvlJc w:val="left"/>
      <w:pPr>
        <w:tabs>
          <w:tab w:val="num" w:pos="6690"/>
        </w:tabs>
        <w:ind w:left="6690" w:hanging="360"/>
      </w:pPr>
      <w:rPr>
        <w:rFonts w:ascii="Wingdings" w:hAnsi="Wingdings" w:hint="default"/>
      </w:rPr>
    </w:lvl>
  </w:abstractNum>
  <w:abstractNum w:abstractNumId="3">
    <w:nsid w:val="54366D7B"/>
    <w:multiLevelType w:val="multilevel"/>
    <w:tmpl w:val="CCE4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1432F5"/>
    <w:multiLevelType w:val="hybridMultilevel"/>
    <w:tmpl w:val="2B326A74"/>
    <w:lvl w:ilvl="0" w:tplc="040C0001">
      <w:start w:val="1"/>
      <w:numFmt w:val="bullet"/>
      <w:lvlText w:val=""/>
      <w:lvlJc w:val="left"/>
      <w:pPr>
        <w:tabs>
          <w:tab w:val="num" w:pos="870"/>
        </w:tabs>
        <w:ind w:left="870" w:hanging="360"/>
      </w:pPr>
      <w:rPr>
        <w:rFonts w:ascii="Symbol" w:hAnsi="Symbol" w:hint="default"/>
      </w:rPr>
    </w:lvl>
    <w:lvl w:ilvl="1" w:tplc="040C0003" w:tentative="1">
      <w:start w:val="1"/>
      <w:numFmt w:val="bullet"/>
      <w:lvlText w:val="o"/>
      <w:lvlJc w:val="left"/>
      <w:pPr>
        <w:tabs>
          <w:tab w:val="num" w:pos="1590"/>
        </w:tabs>
        <w:ind w:left="1590" w:hanging="360"/>
      </w:pPr>
      <w:rPr>
        <w:rFonts w:ascii="Courier New" w:hAnsi="Courier New" w:hint="default"/>
      </w:rPr>
    </w:lvl>
    <w:lvl w:ilvl="2" w:tplc="040C0005" w:tentative="1">
      <w:start w:val="1"/>
      <w:numFmt w:val="bullet"/>
      <w:lvlText w:val=""/>
      <w:lvlJc w:val="left"/>
      <w:pPr>
        <w:tabs>
          <w:tab w:val="num" w:pos="2310"/>
        </w:tabs>
        <w:ind w:left="2310" w:hanging="360"/>
      </w:pPr>
      <w:rPr>
        <w:rFonts w:ascii="Wingdings" w:hAnsi="Wingdings" w:hint="default"/>
      </w:rPr>
    </w:lvl>
    <w:lvl w:ilvl="3" w:tplc="040C0001" w:tentative="1">
      <w:start w:val="1"/>
      <w:numFmt w:val="bullet"/>
      <w:lvlText w:val=""/>
      <w:lvlJc w:val="left"/>
      <w:pPr>
        <w:tabs>
          <w:tab w:val="num" w:pos="3030"/>
        </w:tabs>
        <w:ind w:left="3030" w:hanging="360"/>
      </w:pPr>
      <w:rPr>
        <w:rFonts w:ascii="Symbol" w:hAnsi="Symbol" w:hint="default"/>
      </w:rPr>
    </w:lvl>
    <w:lvl w:ilvl="4" w:tplc="040C0003" w:tentative="1">
      <w:start w:val="1"/>
      <w:numFmt w:val="bullet"/>
      <w:lvlText w:val="o"/>
      <w:lvlJc w:val="left"/>
      <w:pPr>
        <w:tabs>
          <w:tab w:val="num" w:pos="3750"/>
        </w:tabs>
        <w:ind w:left="3750" w:hanging="360"/>
      </w:pPr>
      <w:rPr>
        <w:rFonts w:ascii="Courier New" w:hAnsi="Courier New" w:hint="default"/>
      </w:rPr>
    </w:lvl>
    <w:lvl w:ilvl="5" w:tplc="040C0005" w:tentative="1">
      <w:start w:val="1"/>
      <w:numFmt w:val="bullet"/>
      <w:lvlText w:val=""/>
      <w:lvlJc w:val="left"/>
      <w:pPr>
        <w:tabs>
          <w:tab w:val="num" w:pos="4470"/>
        </w:tabs>
        <w:ind w:left="4470" w:hanging="360"/>
      </w:pPr>
      <w:rPr>
        <w:rFonts w:ascii="Wingdings" w:hAnsi="Wingdings" w:hint="default"/>
      </w:rPr>
    </w:lvl>
    <w:lvl w:ilvl="6" w:tplc="040C0001" w:tentative="1">
      <w:start w:val="1"/>
      <w:numFmt w:val="bullet"/>
      <w:lvlText w:val=""/>
      <w:lvlJc w:val="left"/>
      <w:pPr>
        <w:tabs>
          <w:tab w:val="num" w:pos="5190"/>
        </w:tabs>
        <w:ind w:left="5190" w:hanging="360"/>
      </w:pPr>
      <w:rPr>
        <w:rFonts w:ascii="Symbol" w:hAnsi="Symbol" w:hint="default"/>
      </w:rPr>
    </w:lvl>
    <w:lvl w:ilvl="7" w:tplc="040C0003" w:tentative="1">
      <w:start w:val="1"/>
      <w:numFmt w:val="bullet"/>
      <w:lvlText w:val="o"/>
      <w:lvlJc w:val="left"/>
      <w:pPr>
        <w:tabs>
          <w:tab w:val="num" w:pos="5910"/>
        </w:tabs>
        <w:ind w:left="5910" w:hanging="360"/>
      </w:pPr>
      <w:rPr>
        <w:rFonts w:ascii="Courier New" w:hAnsi="Courier New" w:hint="default"/>
      </w:rPr>
    </w:lvl>
    <w:lvl w:ilvl="8" w:tplc="040C0005" w:tentative="1">
      <w:start w:val="1"/>
      <w:numFmt w:val="bullet"/>
      <w:lvlText w:val=""/>
      <w:lvlJc w:val="left"/>
      <w:pPr>
        <w:tabs>
          <w:tab w:val="num" w:pos="6630"/>
        </w:tabs>
        <w:ind w:left="6630" w:hanging="360"/>
      </w:pPr>
      <w:rPr>
        <w:rFonts w:ascii="Wingdings" w:hAnsi="Wingdings" w:hint="default"/>
      </w:rPr>
    </w:lvl>
  </w:abstractNum>
  <w:abstractNum w:abstractNumId="5">
    <w:nsid w:val="7C1C0985"/>
    <w:multiLevelType w:val="hybridMultilevel"/>
    <w:tmpl w:val="1C0C4AF4"/>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BA9"/>
    <w:rsid w:val="00071E41"/>
    <w:rsid w:val="00080B44"/>
    <w:rsid w:val="000B45A6"/>
    <w:rsid w:val="00160ED8"/>
    <w:rsid w:val="00235BF5"/>
    <w:rsid w:val="00281D84"/>
    <w:rsid w:val="002C5E56"/>
    <w:rsid w:val="00321205"/>
    <w:rsid w:val="0036080F"/>
    <w:rsid w:val="003E39F5"/>
    <w:rsid w:val="00406F9C"/>
    <w:rsid w:val="0042434F"/>
    <w:rsid w:val="004614C6"/>
    <w:rsid w:val="00477312"/>
    <w:rsid w:val="00490A73"/>
    <w:rsid w:val="004F3FA7"/>
    <w:rsid w:val="005229D4"/>
    <w:rsid w:val="00525A22"/>
    <w:rsid w:val="00550D8C"/>
    <w:rsid w:val="005B5958"/>
    <w:rsid w:val="005F6D16"/>
    <w:rsid w:val="0061561F"/>
    <w:rsid w:val="0062032A"/>
    <w:rsid w:val="00620B13"/>
    <w:rsid w:val="006344D5"/>
    <w:rsid w:val="00647359"/>
    <w:rsid w:val="00712AD1"/>
    <w:rsid w:val="00771633"/>
    <w:rsid w:val="00774745"/>
    <w:rsid w:val="007B1885"/>
    <w:rsid w:val="007C3F54"/>
    <w:rsid w:val="007F7F53"/>
    <w:rsid w:val="00802A61"/>
    <w:rsid w:val="00831296"/>
    <w:rsid w:val="0083274C"/>
    <w:rsid w:val="008436F2"/>
    <w:rsid w:val="00866E54"/>
    <w:rsid w:val="008C3D7F"/>
    <w:rsid w:val="009810A9"/>
    <w:rsid w:val="00A07940"/>
    <w:rsid w:val="00A12473"/>
    <w:rsid w:val="00AB3B32"/>
    <w:rsid w:val="00AD44D3"/>
    <w:rsid w:val="00B42907"/>
    <w:rsid w:val="00B5767B"/>
    <w:rsid w:val="00BF26D1"/>
    <w:rsid w:val="00C11508"/>
    <w:rsid w:val="00C360AE"/>
    <w:rsid w:val="00C45241"/>
    <w:rsid w:val="00CA3905"/>
    <w:rsid w:val="00D30092"/>
    <w:rsid w:val="00D61259"/>
    <w:rsid w:val="00D63A56"/>
    <w:rsid w:val="00D64037"/>
    <w:rsid w:val="00D870F7"/>
    <w:rsid w:val="00DA6E81"/>
    <w:rsid w:val="00DD2F7D"/>
    <w:rsid w:val="00E30DE6"/>
    <w:rsid w:val="00EE64BD"/>
    <w:rsid w:val="00EE66AF"/>
    <w:rsid w:val="00F2697B"/>
    <w:rsid w:val="00F4057D"/>
    <w:rsid w:val="00FC1BA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pPr>
      <w:jc w:val="both"/>
    </w:pPr>
    <w:rPr>
      <w:sz w:val="20"/>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C3D7F"/>
    <w:pPr>
      <w:pBdr>
        <w:bottom w:val="single" w:sz="8" w:space="4" w:color="4F81BD"/>
      </w:pBdr>
      <w:spacing w:after="300"/>
      <w:contextualSpacing/>
    </w:pPr>
    <w:rPr>
      <w:rFonts w:eastAsia="Times New Roman"/>
      <w:spacing w:val="5"/>
      <w:kern w:val="28"/>
      <w:sz w:val="36"/>
      <w:szCs w:val="52"/>
    </w:rPr>
  </w:style>
  <w:style w:type="character" w:customStyle="1" w:styleId="TitleChar">
    <w:name w:val="Title Char"/>
    <w:basedOn w:val="DefaultParagraphFont"/>
    <w:link w:val="Title"/>
    <w:uiPriority w:val="99"/>
    <w:locked/>
    <w:rsid w:val="008C3D7F"/>
    <w:rPr>
      <w:rFonts w:eastAsia="Times New Roman" w:cs="Times New Roman"/>
      <w:spacing w:val="5"/>
      <w:kern w:val="28"/>
      <w:sz w:val="52"/>
      <w:szCs w:val="52"/>
    </w:rPr>
  </w:style>
  <w:style w:type="paragraph" w:styleId="Header">
    <w:name w:val="header"/>
    <w:basedOn w:val="Normal"/>
    <w:link w:val="HeaderChar"/>
    <w:uiPriority w:val="99"/>
    <w:rsid w:val="008C3D7F"/>
    <w:pPr>
      <w:tabs>
        <w:tab w:val="center" w:pos="4536"/>
        <w:tab w:val="right" w:pos="9072"/>
      </w:tabs>
    </w:pPr>
  </w:style>
  <w:style w:type="character" w:customStyle="1" w:styleId="HeaderChar">
    <w:name w:val="Header Char"/>
    <w:basedOn w:val="DefaultParagraphFont"/>
    <w:link w:val="Header"/>
    <w:uiPriority w:val="99"/>
    <w:locked/>
    <w:rsid w:val="008C3D7F"/>
    <w:rPr>
      <w:rFonts w:cs="Times New Roman"/>
    </w:rPr>
  </w:style>
  <w:style w:type="paragraph" w:styleId="Footer">
    <w:name w:val="footer"/>
    <w:basedOn w:val="Normal"/>
    <w:link w:val="FooterChar"/>
    <w:uiPriority w:val="99"/>
    <w:rsid w:val="008C3D7F"/>
    <w:pPr>
      <w:tabs>
        <w:tab w:val="center" w:pos="4536"/>
        <w:tab w:val="right" w:pos="9072"/>
      </w:tabs>
    </w:pPr>
  </w:style>
  <w:style w:type="character" w:customStyle="1" w:styleId="FooterChar">
    <w:name w:val="Footer Char"/>
    <w:basedOn w:val="DefaultParagraphFont"/>
    <w:link w:val="Footer"/>
    <w:uiPriority w:val="99"/>
    <w:locked/>
    <w:rsid w:val="008C3D7F"/>
    <w:rPr>
      <w:rFonts w:cs="Times New Roman"/>
    </w:rPr>
  </w:style>
  <w:style w:type="paragraph" w:styleId="BalloonText">
    <w:name w:val="Balloon Text"/>
    <w:basedOn w:val="Normal"/>
    <w:link w:val="BalloonTextChar"/>
    <w:uiPriority w:val="99"/>
    <w:semiHidden/>
    <w:rsid w:val="008C3D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3D7F"/>
    <w:rPr>
      <w:rFonts w:ascii="Tahoma" w:hAnsi="Tahoma" w:cs="Tahoma"/>
      <w:sz w:val="16"/>
      <w:szCs w:val="16"/>
    </w:rPr>
  </w:style>
  <w:style w:type="table" w:styleId="TableGrid">
    <w:name w:val="Table Grid"/>
    <w:basedOn w:val="TableNormal"/>
    <w:uiPriority w:val="99"/>
    <w:rsid w:val="008C3D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42907"/>
    <w:rPr>
      <w:rFonts w:cs="Times New Roman"/>
      <w:color w:val="7F2A00"/>
      <w:u w:val="single"/>
    </w:rPr>
  </w:style>
  <w:style w:type="paragraph" w:customStyle="1" w:styleId="corps-p1">
    <w:name w:val="corps-p1"/>
    <w:basedOn w:val="Normal"/>
    <w:uiPriority w:val="99"/>
    <w:rsid w:val="00B42907"/>
    <w:pPr>
      <w:spacing w:before="75" w:after="15"/>
      <w:ind w:left="150" w:right="150"/>
    </w:pPr>
    <w:rPr>
      <w:rFonts w:ascii="Times New Roman" w:hAnsi="Times New Roman"/>
      <w:color w:val="000000"/>
      <w:sz w:val="24"/>
      <w:lang w:eastAsia="fr-FR"/>
    </w:rPr>
  </w:style>
  <w:style w:type="character" w:customStyle="1" w:styleId="corps-c21">
    <w:name w:val="corps-c21"/>
    <w:basedOn w:val="DefaultParagraphFont"/>
    <w:uiPriority w:val="99"/>
    <w:rsid w:val="00B42907"/>
    <w:rPr>
      <w:rFonts w:ascii="Verdana" w:hAnsi="Verdana" w:cs="Times New Roman"/>
      <w:sz w:val="20"/>
      <w:szCs w:val="20"/>
    </w:rPr>
  </w:style>
  <w:style w:type="character" w:customStyle="1" w:styleId="listepuces2-c1">
    <w:name w:val="listepuces2-c1"/>
    <w:basedOn w:val="DefaultParagraphFont"/>
    <w:uiPriority w:val="99"/>
    <w:rsid w:val="00E30DE6"/>
    <w:rPr>
      <w:rFonts w:ascii="Arial" w:hAnsi="Arial" w:cs="Arial"/>
      <w:sz w:val="20"/>
      <w:szCs w:val="20"/>
    </w:rPr>
  </w:style>
  <w:style w:type="character" w:customStyle="1" w:styleId="corp3-c01">
    <w:name w:val="corp3-c01"/>
    <w:basedOn w:val="DefaultParagraphFont"/>
    <w:uiPriority w:val="99"/>
    <w:rsid w:val="005B5958"/>
    <w:rPr>
      <w:rFonts w:ascii="Arial" w:hAnsi="Arial" w:cs="Arial"/>
      <w:b/>
      <w:bCs/>
      <w:color w:val="800000"/>
      <w:sz w:val="20"/>
      <w:szCs w:val="20"/>
    </w:rPr>
  </w:style>
</w:styles>
</file>

<file path=word/webSettings.xml><?xml version="1.0" encoding="utf-8"?>
<w:webSettings xmlns:r="http://schemas.openxmlformats.org/officeDocument/2006/relationships" xmlns:w="http://schemas.openxmlformats.org/wordprocessingml/2006/main">
  <w:divs>
    <w:div w:id="91323858">
      <w:marLeft w:val="0"/>
      <w:marRight w:val="0"/>
      <w:marTop w:val="0"/>
      <w:marBottom w:val="0"/>
      <w:divBdr>
        <w:top w:val="none" w:sz="0" w:space="0" w:color="auto"/>
        <w:left w:val="none" w:sz="0" w:space="0" w:color="auto"/>
        <w:bottom w:val="none" w:sz="0" w:space="0" w:color="auto"/>
        <w:right w:val="none" w:sz="0" w:space="0" w:color="auto"/>
      </w:divBdr>
      <w:divsChild>
        <w:div w:id="91323853">
          <w:marLeft w:val="0"/>
          <w:marRight w:val="0"/>
          <w:marTop w:val="0"/>
          <w:marBottom w:val="0"/>
          <w:divBdr>
            <w:top w:val="none" w:sz="0" w:space="0" w:color="auto"/>
            <w:left w:val="none" w:sz="0" w:space="0" w:color="auto"/>
            <w:bottom w:val="none" w:sz="0" w:space="0" w:color="auto"/>
            <w:right w:val="none" w:sz="0" w:space="0" w:color="auto"/>
          </w:divBdr>
        </w:div>
        <w:div w:id="91323854">
          <w:marLeft w:val="0"/>
          <w:marRight w:val="0"/>
          <w:marTop w:val="0"/>
          <w:marBottom w:val="0"/>
          <w:divBdr>
            <w:top w:val="none" w:sz="0" w:space="0" w:color="auto"/>
            <w:left w:val="none" w:sz="0" w:space="0" w:color="auto"/>
            <w:bottom w:val="none" w:sz="0" w:space="0" w:color="auto"/>
            <w:right w:val="none" w:sz="0" w:space="0" w:color="auto"/>
          </w:divBdr>
        </w:div>
        <w:div w:id="91323856">
          <w:marLeft w:val="0"/>
          <w:marRight w:val="0"/>
          <w:marTop w:val="0"/>
          <w:marBottom w:val="0"/>
          <w:divBdr>
            <w:top w:val="none" w:sz="0" w:space="0" w:color="auto"/>
            <w:left w:val="none" w:sz="0" w:space="0" w:color="auto"/>
            <w:bottom w:val="none" w:sz="0" w:space="0" w:color="auto"/>
            <w:right w:val="none" w:sz="0" w:space="0" w:color="auto"/>
          </w:divBdr>
        </w:div>
        <w:div w:id="91323857">
          <w:marLeft w:val="0"/>
          <w:marRight w:val="0"/>
          <w:marTop w:val="0"/>
          <w:marBottom w:val="0"/>
          <w:divBdr>
            <w:top w:val="none" w:sz="0" w:space="0" w:color="auto"/>
            <w:left w:val="none" w:sz="0" w:space="0" w:color="auto"/>
            <w:bottom w:val="none" w:sz="0" w:space="0" w:color="auto"/>
            <w:right w:val="none" w:sz="0" w:space="0" w:color="auto"/>
          </w:divBdr>
        </w:div>
        <w:div w:id="91323861">
          <w:marLeft w:val="0"/>
          <w:marRight w:val="0"/>
          <w:marTop w:val="0"/>
          <w:marBottom w:val="0"/>
          <w:divBdr>
            <w:top w:val="none" w:sz="0" w:space="0" w:color="auto"/>
            <w:left w:val="none" w:sz="0" w:space="0" w:color="auto"/>
            <w:bottom w:val="none" w:sz="0" w:space="0" w:color="auto"/>
            <w:right w:val="none" w:sz="0" w:space="0" w:color="auto"/>
          </w:divBdr>
        </w:div>
        <w:div w:id="91323862">
          <w:marLeft w:val="0"/>
          <w:marRight w:val="0"/>
          <w:marTop w:val="0"/>
          <w:marBottom w:val="0"/>
          <w:divBdr>
            <w:top w:val="none" w:sz="0" w:space="0" w:color="auto"/>
            <w:left w:val="none" w:sz="0" w:space="0" w:color="auto"/>
            <w:bottom w:val="none" w:sz="0" w:space="0" w:color="auto"/>
            <w:right w:val="none" w:sz="0" w:space="0" w:color="auto"/>
          </w:divBdr>
        </w:div>
      </w:divsChild>
    </w:div>
    <w:div w:id="91323860">
      <w:marLeft w:val="0"/>
      <w:marRight w:val="0"/>
      <w:marTop w:val="0"/>
      <w:marBottom w:val="0"/>
      <w:divBdr>
        <w:top w:val="none" w:sz="0" w:space="0" w:color="auto"/>
        <w:left w:val="none" w:sz="0" w:space="0" w:color="auto"/>
        <w:bottom w:val="none" w:sz="0" w:space="0" w:color="auto"/>
        <w:right w:val="none" w:sz="0" w:space="0" w:color="auto"/>
      </w:divBdr>
      <w:divsChild>
        <w:div w:id="91323859">
          <w:marLeft w:val="0"/>
          <w:marRight w:val="0"/>
          <w:marTop w:val="0"/>
          <w:marBottom w:val="0"/>
          <w:divBdr>
            <w:top w:val="none" w:sz="0" w:space="0" w:color="auto"/>
            <w:left w:val="none" w:sz="0" w:space="0" w:color="auto"/>
            <w:bottom w:val="none" w:sz="0" w:space="0" w:color="auto"/>
            <w:right w:val="none" w:sz="0" w:space="0" w:color="auto"/>
          </w:divBdr>
        </w:div>
      </w:divsChild>
    </w:div>
    <w:div w:id="91323863">
      <w:marLeft w:val="0"/>
      <w:marRight w:val="0"/>
      <w:marTop w:val="0"/>
      <w:marBottom w:val="0"/>
      <w:divBdr>
        <w:top w:val="none" w:sz="0" w:space="0" w:color="auto"/>
        <w:left w:val="none" w:sz="0" w:space="0" w:color="auto"/>
        <w:bottom w:val="none" w:sz="0" w:space="0" w:color="auto"/>
        <w:right w:val="none" w:sz="0" w:space="0" w:color="auto"/>
      </w:divBdr>
      <w:divsChild>
        <w:div w:id="91323855">
          <w:marLeft w:val="0"/>
          <w:marRight w:val="0"/>
          <w:marTop w:val="0"/>
          <w:marBottom w:val="0"/>
          <w:divBdr>
            <w:top w:val="none" w:sz="0" w:space="0" w:color="auto"/>
            <w:left w:val="none" w:sz="0" w:space="0" w:color="auto"/>
            <w:bottom w:val="none" w:sz="0" w:space="0" w:color="auto"/>
            <w:right w:val="none" w:sz="0" w:space="0" w:color="auto"/>
          </w:divBdr>
        </w:div>
      </w:divsChild>
    </w:div>
    <w:div w:id="91323865">
      <w:marLeft w:val="0"/>
      <w:marRight w:val="0"/>
      <w:marTop w:val="0"/>
      <w:marBottom w:val="0"/>
      <w:divBdr>
        <w:top w:val="none" w:sz="0" w:space="0" w:color="auto"/>
        <w:left w:val="none" w:sz="0" w:space="0" w:color="auto"/>
        <w:bottom w:val="none" w:sz="0" w:space="0" w:color="auto"/>
        <w:right w:val="none" w:sz="0" w:space="0" w:color="auto"/>
      </w:divBdr>
      <w:divsChild>
        <w:div w:id="9132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coutglobal.fr/CourbeCGsystem.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www.coutglobal.fr/CGInduitReel.g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Template>
  <TotalTime>48</TotalTime>
  <Pages>2</Pages>
  <Words>452</Words>
  <Characters>2486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E.E.</dc:title>
  <dc:subject/>
  <dc:creator>Patrick Cohen</dc:creator>
  <cp:keywords/>
  <dc:description/>
  <cp:lastModifiedBy>laurent</cp:lastModifiedBy>
  <cp:revision>15</cp:revision>
  <dcterms:created xsi:type="dcterms:W3CDTF">2011-12-15T09:33:00Z</dcterms:created>
  <dcterms:modified xsi:type="dcterms:W3CDTF">2012-04-03T09:32:00Z</dcterms:modified>
</cp:coreProperties>
</file>