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551"/>
      </w:tblGrid>
      <w:tr w:rsidR="00765558" w:rsidRPr="00720E9C" w14:paraId="2D15BE1D" w14:textId="77777777" w:rsidTr="4C1C55B0">
        <w:trPr>
          <w:trHeight w:val="149"/>
        </w:trPr>
        <w:tc>
          <w:tcPr>
            <w:tcW w:w="3227" w:type="dxa"/>
          </w:tcPr>
          <w:p w14:paraId="6793A035" w14:textId="77777777" w:rsidR="00765558" w:rsidRPr="00720E9C" w:rsidRDefault="00765558" w:rsidP="00071E41">
            <w:pPr>
              <w:rPr>
                <w:b/>
                <w:sz w:val="26"/>
                <w:szCs w:val="26"/>
              </w:rPr>
            </w:pPr>
            <w:r w:rsidRPr="00720E9C">
              <w:rPr>
                <w:b/>
                <w:sz w:val="26"/>
                <w:szCs w:val="26"/>
              </w:rPr>
              <w:t>Chapitre</w:t>
            </w:r>
          </w:p>
        </w:tc>
        <w:tc>
          <w:tcPr>
            <w:tcW w:w="6551" w:type="dxa"/>
          </w:tcPr>
          <w:p w14:paraId="1F0A1613" w14:textId="77777777" w:rsidR="00765558" w:rsidRPr="00720E9C" w:rsidRDefault="00765558" w:rsidP="00720E9C">
            <w:pPr>
              <w:ind w:left="317" w:hanging="317"/>
              <w:rPr>
                <w:b/>
                <w:sz w:val="26"/>
                <w:szCs w:val="26"/>
              </w:rPr>
            </w:pPr>
            <w:r w:rsidRPr="00720E9C">
              <w:rPr>
                <w:b/>
                <w:sz w:val="26"/>
                <w:szCs w:val="26"/>
              </w:rPr>
              <w:t>3. Transports et distribution d’énergie, études de dossiers technologiques</w:t>
            </w:r>
          </w:p>
        </w:tc>
      </w:tr>
      <w:tr w:rsidR="00765558" w:rsidRPr="00720E9C" w14:paraId="01567758" w14:textId="77777777" w:rsidTr="4C1C55B0">
        <w:trPr>
          <w:trHeight w:val="142"/>
        </w:trPr>
        <w:tc>
          <w:tcPr>
            <w:tcW w:w="3227" w:type="dxa"/>
          </w:tcPr>
          <w:p w14:paraId="49DDDE51" w14:textId="77777777" w:rsidR="00765558" w:rsidRPr="00720E9C" w:rsidRDefault="00765558" w:rsidP="008C3D7F">
            <w:pPr>
              <w:rPr>
                <w:b/>
              </w:rPr>
            </w:pPr>
            <w:r w:rsidRPr="00720E9C">
              <w:rPr>
                <w:b/>
              </w:rPr>
              <w:t>Objectif général de formation</w:t>
            </w:r>
          </w:p>
        </w:tc>
        <w:tc>
          <w:tcPr>
            <w:tcW w:w="6551" w:type="dxa"/>
          </w:tcPr>
          <w:p w14:paraId="4E90F368" w14:textId="77777777" w:rsidR="00765558" w:rsidRPr="00720E9C" w:rsidRDefault="00765558" w:rsidP="00071E41">
            <w:r w:rsidRPr="00720E9C">
              <w:t>Développer une culture des solutions technologiques de transport et de distribution d’énergie.</w:t>
            </w:r>
          </w:p>
        </w:tc>
      </w:tr>
      <w:tr w:rsidR="00765558" w:rsidRPr="00720E9C" w14:paraId="08542BDE" w14:textId="77777777" w:rsidTr="4C1C55B0">
        <w:trPr>
          <w:trHeight w:val="142"/>
        </w:trPr>
        <w:tc>
          <w:tcPr>
            <w:tcW w:w="3227" w:type="dxa"/>
          </w:tcPr>
          <w:p w14:paraId="53A49849" w14:textId="77777777" w:rsidR="00765558" w:rsidRPr="00720E9C" w:rsidRDefault="00765558" w:rsidP="008C3D7F">
            <w:pPr>
              <w:rPr>
                <w:b/>
              </w:rPr>
            </w:pPr>
            <w:r w:rsidRPr="00720E9C">
              <w:rPr>
                <w:b/>
              </w:rPr>
              <w:t>Paragraphe</w:t>
            </w:r>
          </w:p>
        </w:tc>
        <w:tc>
          <w:tcPr>
            <w:tcW w:w="6551" w:type="dxa"/>
          </w:tcPr>
          <w:p w14:paraId="37A318B3" w14:textId="77777777" w:rsidR="00765558" w:rsidRPr="00720E9C" w:rsidRDefault="00765558" w:rsidP="00071E41">
            <w:r w:rsidRPr="00720E9C">
              <w:t>3.1 Production et transport d’énergie</w:t>
            </w:r>
          </w:p>
        </w:tc>
      </w:tr>
      <w:tr w:rsidR="00765558" w:rsidRPr="00720E9C" w14:paraId="27B55459" w14:textId="77777777" w:rsidTr="4C1C55B0">
        <w:trPr>
          <w:trHeight w:val="142"/>
        </w:trPr>
        <w:tc>
          <w:tcPr>
            <w:tcW w:w="3227" w:type="dxa"/>
          </w:tcPr>
          <w:p w14:paraId="2A03021B" w14:textId="77777777" w:rsidR="00765558" w:rsidRPr="00720E9C" w:rsidRDefault="00765558" w:rsidP="00071E41">
            <w:pPr>
              <w:rPr>
                <w:b/>
              </w:rPr>
            </w:pPr>
            <w:r w:rsidRPr="00720E9C">
              <w:rPr>
                <w:b/>
              </w:rPr>
              <w:t>Sous paragraphe</w:t>
            </w:r>
          </w:p>
        </w:tc>
        <w:tc>
          <w:tcPr>
            <w:tcW w:w="6551" w:type="dxa"/>
          </w:tcPr>
          <w:p w14:paraId="127DC058" w14:textId="77777777" w:rsidR="00765558" w:rsidRPr="00720E9C" w:rsidRDefault="00765558" w:rsidP="00071E41"/>
        </w:tc>
      </w:tr>
      <w:tr w:rsidR="00765558" w:rsidRPr="00720E9C" w14:paraId="29640DF8" w14:textId="77777777" w:rsidTr="4C1C55B0">
        <w:trPr>
          <w:trHeight w:val="142"/>
        </w:trPr>
        <w:tc>
          <w:tcPr>
            <w:tcW w:w="3227" w:type="dxa"/>
          </w:tcPr>
          <w:p w14:paraId="75006372" w14:textId="77777777" w:rsidR="00765558" w:rsidRPr="00720E9C" w:rsidRDefault="00765558" w:rsidP="00071E41">
            <w:pPr>
              <w:rPr>
                <w:b/>
              </w:rPr>
            </w:pPr>
            <w:r w:rsidRPr="00720E9C">
              <w:rPr>
                <w:b/>
              </w:rPr>
              <w:t>Connaissances</w:t>
            </w:r>
          </w:p>
        </w:tc>
        <w:tc>
          <w:tcPr>
            <w:tcW w:w="6551" w:type="dxa"/>
          </w:tcPr>
          <w:p w14:paraId="5A9B1A65" w14:textId="77777777" w:rsidR="00765558" w:rsidRPr="00720E9C" w:rsidRDefault="00765558" w:rsidP="0012799D">
            <w:r w:rsidRPr="00720E9C">
              <w:t>Gestion du réseau de transport</w:t>
            </w:r>
          </w:p>
          <w:p w14:paraId="7B716D33" w14:textId="77777777" w:rsidR="00765558" w:rsidRPr="00720E9C" w:rsidRDefault="00765558" w:rsidP="0012799D">
            <w:r w:rsidRPr="00720E9C">
              <w:t>Comptage et facturation de l’énergie</w:t>
            </w:r>
          </w:p>
          <w:p w14:paraId="1FE793A7" w14:textId="77777777" w:rsidR="00765558" w:rsidRPr="00720E9C" w:rsidRDefault="00765558" w:rsidP="0012799D">
            <w:r w:rsidRPr="00720E9C">
              <w:t>Impact environnemental</w:t>
            </w:r>
          </w:p>
        </w:tc>
      </w:tr>
      <w:tr w:rsidR="00765558" w:rsidRPr="00720E9C" w14:paraId="18CC3F46" w14:textId="77777777" w:rsidTr="4C1C55B0">
        <w:trPr>
          <w:trHeight w:val="142"/>
        </w:trPr>
        <w:tc>
          <w:tcPr>
            <w:tcW w:w="3227" w:type="dxa"/>
          </w:tcPr>
          <w:p w14:paraId="07FD3A35" w14:textId="77777777" w:rsidR="00765558" w:rsidRPr="00720E9C" w:rsidRDefault="00765558" w:rsidP="00071E41">
            <w:pPr>
              <w:rPr>
                <w:b/>
              </w:rPr>
            </w:pPr>
            <w:r w:rsidRPr="00720E9C">
              <w:rPr>
                <w:b/>
              </w:rPr>
              <w:t>Niveau d’enseignement</w:t>
            </w:r>
          </w:p>
        </w:tc>
        <w:tc>
          <w:tcPr>
            <w:tcW w:w="6551" w:type="dxa"/>
          </w:tcPr>
          <w:p w14:paraId="0930D715" w14:textId="77777777" w:rsidR="00765558" w:rsidRPr="00720E9C" w:rsidRDefault="00765558" w:rsidP="00071E41">
            <w:r w:rsidRPr="00720E9C">
              <w:t>Terminale</w:t>
            </w:r>
          </w:p>
        </w:tc>
      </w:tr>
      <w:tr w:rsidR="00765558" w:rsidRPr="00720E9C" w14:paraId="094A2438" w14:textId="77777777" w:rsidTr="4C1C55B0">
        <w:trPr>
          <w:trHeight w:val="142"/>
        </w:trPr>
        <w:tc>
          <w:tcPr>
            <w:tcW w:w="3227" w:type="dxa"/>
          </w:tcPr>
          <w:p w14:paraId="52B4BD83" w14:textId="77777777" w:rsidR="00765558" w:rsidRPr="00720E9C" w:rsidRDefault="00765558" w:rsidP="00071E41">
            <w:pPr>
              <w:rPr>
                <w:b/>
              </w:rPr>
            </w:pPr>
            <w:r w:rsidRPr="00720E9C">
              <w:rPr>
                <w:b/>
              </w:rPr>
              <w:t>Niveau taxonomique</w:t>
            </w:r>
          </w:p>
        </w:tc>
        <w:tc>
          <w:tcPr>
            <w:tcW w:w="6551" w:type="dxa"/>
          </w:tcPr>
          <w:p w14:paraId="2A8AF3EC" w14:textId="695C2E7C" w:rsidR="00765558" w:rsidRPr="00720E9C" w:rsidRDefault="00765558" w:rsidP="4C1C55B0">
            <w:r w:rsidRPr="00720E9C">
              <w:rPr>
                <w:b/>
              </w:rPr>
              <w:t>2.</w:t>
            </w:r>
            <w:r w:rsidRPr="00720E9C">
              <w:t xml:space="preserve"> Le contenu est relatif à </w:t>
            </w:r>
            <w:r w:rsidRPr="00720E9C">
              <w:rPr>
                <w:b/>
              </w:rPr>
              <w:t>l’acquisition de moyens d’expression et de communication</w:t>
            </w:r>
            <w:r w:rsidR="4C1C55B0" w:rsidRPr="00720E9C">
              <w:t xml:space="preserve"> : définir, utiliser les termes composant la discipline. Il s’agit de maitriser un savoir « appris ».</w:t>
            </w:r>
          </w:p>
        </w:tc>
      </w:tr>
      <w:tr w:rsidR="00765558" w:rsidRPr="00720E9C" w14:paraId="00F7C5E1" w14:textId="77777777" w:rsidTr="4C1C55B0">
        <w:trPr>
          <w:trHeight w:val="142"/>
        </w:trPr>
        <w:tc>
          <w:tcPr>
            <w:tcW w:w="3227" w:type="dxa"/>
          </w:tcPr>
          <w:p w14:paraId="7AFEF8EE" w14:textId="77777777" w:rsidR="00765558" w:rsidRPr="00720E9C" w:rsidRDefault="00765558" w:rsidP="00774745">
            <w:pPr>
              <w:rPr>
                <w:b/>
              </w:rPr>
            </w:pPr>
            <w:r w:rsidRPr="00720E9C">
              <w:rPr>
                <w:b/>
              </w:rPr>
              <w:t>Commentaire</w:t>
            </w:r>
          </w:p>
        </w:tc>
        <w:tc>
          <w:tcPr>
            <w:tcW w:w="6551" w:type="dxa"/>
          </w:tcPr>
          <w:p w14:paraId="76840C99" w14:textId="77777777" w:rsidR="00765558" w:rsidRPr="00720E9C" w:rsidRDefault="00765558" w:rsidP="0012799D">
            <w:pPr>
              <w:rPr>
                <w:i/>
              </w:rPr>
            </w:pPr>
            <w:r w:rsidRPr="00720E9C">
              <w:rPr>
                <w:i/>
              </w:rPr>
              <w:t>Les nouvelles stratégies de gestion des réseaux d’énergie sont abordées au travers de cas d’étude (réseaux « intelligents »).</w:t>
            </w:r>
          </w:p>
          <w:p w14:paraId="63D300CC" w14:textId="77777777" w:rsidR="00765558" w:rsidRPr="00720E9C" w:rsidRDefault="00765558" w:rsidP="0012799D">
            <w:pPr>
              <w:rPr>
                <w:i/>
              </w:rPr>
            </w:pPr>
            <w:r w:rsidRPr="00720E9C">
              <w:rPr>
                <w:i/>
              </w:rPr>
              <w:t>L’impact environnemental est abordé au travers d’une analyse fine de l’usage et d’une meilleure relation avec l’action des usagers.</w:t>
            </w:r>
          </w:p>
        </w:tc>
      </w:tr>
      <w:tr w:rsidR="00765558" w:rsidRPr="00720E9C" w14:paraId="5A861D65" w14:textId="77777777" w:rsidTr="4C1C55B0">
        <w:trPr>
          <w:trHeight w:val="142"/>
        </w:trPr>
        <w:tc>
          <w:tcPr>
            <w:tcW w:w="3227" w:type="dxa"/>
          </w:tcPr>
          <w:p w14:paraId="3DAEA5A8" w14:textId="77777777" w:rsidR="00765558" w:rsidRPr="00720E9C" w:rsidRDefault="00765558" w:rsidP="00774745">
            <w:pPr>
              <w:rPr>
                <w:b/>
              </w:rPr>
            </w:pPr>
            <w:r w:rsidRPr="00720E9C">
              <w:rPr>
                <w:b/>
              </w:rPr>
              <w:t>Liens</w:t>
            </w:r>
          </w:p>
        </w:tc>
        <w:tc>
          <w:tcPr>
            <w:tcW w:w="6551" w:type="dxa"/>
          </w:tcPr>
          <w:p w14:paraId="5903E58A" w14:textId="77777777" w:rsidR="00765558" w:rsidRPr="00720E9C" w:rsidRDefault="00765558" w:rsidP="00071E41"/>
        </w:tc>
      </w:tr>
    </w:tbl>
    <w:p w14:paraId="7D9ED2EF" w14:textId="77777777" w:rsidR="00765558" w:rsidRDefault="00765558" w:rsidP="005972CE">
      <w:pPr>
        <w:rPr>
          <w:szCs w:val="20"/>
        </w:rPr>
      </w:pPr>
    </w:p>
    <w:p w14:paraId="1E2F02F8" w14:textId="31D4C77C" w:rsidR="4C1C55B0" w:rsidRPr="00FB49A9" w:rsidRDefault="4C1C55B0" w:rsidP="4C1C55B0">
      <w:r w:rsidRPr="4C1C55B0">
        <w:rPr>
          <w:b/>
          <w:bCs/>
          <w:sz w:val="24"/>
          <w:u w:val="single"/>
        </w:rPr>
        <w:t>Pré requis:</w:t>
      </w:r>
    </w:p>
    <w:p w14:paraId="7B9FAEFD" w14:textId="30C14031" w:rsidR="4C1C55B0" w:rsidRPr="00FB49A9" w:rsidRDefault="4C1C55B0" w:rsidP="4C1C55B0">
      <w:r w:rsidRPr="4C1C55B0">
        <w:rPr>
          <w:szCs w:val="20"/>
        </w:rPr>
        <w:t>TC 1.2.2</w:t>
      </w:r>
    </w:p>
    <w:p w14:paraId="5F4CF627" w14:textId="21169F2D" w:rsidR="4C1C55B0" w:rsidRPr="00FB49A9" w:rsidRDefault="4C1C55B0" w:rsidP="4C1C55B0">
      <w:r w:rsidRPr="4C1C55B0">
        <w:rPr>
          <w:szCs w:val="20"/>
        </w:rPr>
        <w:t>TC 1.2.3</w:t>
      </w:r>
    </w:p>
    <w:p w14:paraId="2502C1E2" w14:textId="6BFF45D1" w:rsidR="4C1C55B0" w:rsidRPr="00FB49A9" w:rsidRDefault="4C1C55B0" w:rsidP="4C1C55B0">
      <w:r w:rsidRPr="4C1C55B0">
        <w:rPr>
          <w:szCs w:val="20"/>
        </w:rPr>
        <w:t>TC 2.1.</w:t>
      </w:r>
    </w:p>
    <w:p w14:paraId="732E8DDD" w14:textId="74EBB61E" w:rsidR="4C1C55B0" w:rsidRPr="00FB49A9" w:rsidRDefault="4C1C55B0" w:rsidP="4C1C55B0">
      <w:pPr>
        <w:rPr>
          <w:szCs w:val="20"/>
        </w:rPr>
      </w:pPr>
      <w:r w:rsidRPr="4C1C55B0">
        <w:rPr>
          <w:szCs w:val="20"/>
        </w:rPr>
        <w:t>EE 3.1 (1 à 4)</w:t>
      </w:r>
    </w:p>
    <w:p w14:paraId="78582587" w14:textId="53AF33B8" w:rsidR="4C1C55B0" w:rsidRPr="00FB49A9" w:rsidRDefault="4C1C55B0" w:rsidP="4C1C55B0"/>
    <w:p w14:paraId="780EDBAC" w14:textId="77777777" w:rsidR="00765558" w:rsidRPr="00FB49A9" w:rsidRDefault="00765558" w:rsidP="4C1C55B0">
      <w:r w:rsidRPr="00FB49A9">
        <w:rPr>
          <w:b/>
          <w:sz w:val="24"/>
          <w:u w:val="single"/>
        </w:rPr>
        <w:t>Ce que doit savoir faire l’élève :</w:t>
      </w:r>
    </w:p>
    <w:p w14:paraId="12E9A7F3" w14:textId="77777777" w:rsidR="00765558" w:rsidRDefault="00765558" w:rsidP="005972CE">
      <w:pPr>
        <w:rPr>
          <w:szCs w:val="20"/>
        </w:rPr>
      </w:pPr>
    </w:p>
    <w:p w14:paraId="07B64BBF" w14:textId="32F597DF" w:rsidR="00765558" w:rsidRDefault="00765558" w:rsidP="4C1C55B0">
      <w:pPr>
        <w:jc w:val="left"/>
      </w:pPr>
      <w:r>
        <w:rPr>
          <w:szCs w:val="20"/>
        </w:rPr>
        <w:tab/>
      </w:r>
      <w:r w:rsidR="4C1C55B0">
        <w:rPr>
          <w:szCs w:val="20"/>
        </w:rPr>
        <w:t>Décrire un système de transport d’énergie.</w:t>
      </w:r>
    </w:p>
    <w:p w14:paraId="7D36F245" w14:textId="18368868" w:rsidR="4C1C55B0" w:rsidRDefault="4C1C55B0" w:rsidP="4C1C55B0">
      <w:pPr>
        <w:ind w:firstLine="708"/>
        <w:jc w:val="left"/>
      </w:pPr>
      <w:r w:rsidRPr="4C1C55B0">
        <w:rPr>
          <w:szCs w:val="20"/>
        </w:rPr>
        <w:t>Calculer une facturation d’énergie à partir de données.</w:t>
      </w:r>
    </w:p>
    <w:p w14:paraId="7E3AD91C" w14:textId="320BFE08" w:rsidR="4C1C55B0" w:rsidRDefault="4C1C55B0" w:rsidP="4C1C55B0">
      <w:pPr>
        <w:ind w:firstLine="708"/>
        <w:jc w:val="left"/>
      </w:pPr>
      <w:r w:rsidRPr="4C1C55B0">
        <w:rPr>
          <w:szCs w:val="20"/>
        </w:rPr>
        <w:t>Analyser un relevé ou une facture d'énergie, comparer plusieurs solutions</w:t>
      </w:r>
    </w:p>
    <w:p w14:paraId="565E4A4B" w14:textId="53AE40DA" w:rsidR="4C1C55B0" w:rsidRDefault="4C1C55B0" w:rsidP="4C1C55B0">
      <w:pPr>
        <w:ind w:firstLine="708"/>
        <w:jc w:val="left"/>
      </w:pPr>
      <w:r>
        <w:t>Analyser une ACV, et lister les types d'impacts environnementaux</w:t>
      </w:r>
    </w:p>
    <w:p w14:paraId="5ED95277" w14:textId="7314E518" w:rsidR="4C1C55B0" w:rsidRDefault="4C1C55B0" w:rsidP="4C1C55B0">
      <w:pPr>
        <w:ind w:firstLine="708"/>
        <w:jc w:val="left"/>
        <w:rPr>
          <w:szCs w:val="20"/>
        </w:rPr>
      </w:pPr>
    </w:p>
    <w:p w14:paraId="0183B3E4" w14:textId="77777777" w:rsidR="00765558" w:rsidRDefault="00765558" w:rsidP="008C3D7F"/>
    <w:p w14:paraId="518B8753" w14:textId="77777777" w:rsidR="00765558" w:rsidRDefault="00765558" w:rsidP="008C3D7F"/>
    <w:p w14:paraId="09852BD6" w14:textId="77777777" w:rsidR="00765558" w:rsidRDefault="00765558" w:rsidP="008C3D7F">
      <w:r w:rsidRPr="008C2498">
        <w:rPr>
          <w:b/>
        </w:rPr>
        <w:t>Impact environnemental </w:t>
      </w:r>
      <w:r>
        <w:t>:</w:t>
      </w:r>
      <w:r w:rsidRPr="00311B77">
        <w:t xml:space="preserve"> </w:t>
      </w:r>
      <w:r>
        <w:t>désigne l'ensemble des modifications qualitatives, quantitatives et fonctionnelles de l'</w:t>
      </w:r>
      <w:r w:rsidRPr="00311B77">
        <w:t>environnement</w:t>
      </w:r>
      <w:r>
        <w:t xml:space="preserve"> (négatives ou positives) engendrées par un projet, un processus, un procédé, un ou des organismes et un ou des produits, de sa conception à sa "</w:t>
      </w:r>
      <w:r>
        <w:rPr>
          <w:i/>
          <w:iCs/>
        </w:rPr>
        <w:t>fin de vie</w:t>
      </w:r>
      <w:r>
        <w:t>".</w:t>
      </w:r>
    </w:p>
    <w:p w14:paraId="1D3C469A" w14:textId="77777777" w:rsidR="00765558" w:rsidRDefault="00765558" w:rsidP="008C3D7F"/>
    <w:p w14:paraId="1ED90034" w14:textId="77777777" w:rsidR="00765558" w:rsidRDefault="00765558" w:rsidP="008C3D7F"/>
    <w:p w14:paraId="15E9CCAB" w14:textId="77777777" w:rsidR="00765558" w:rsidRDefault="00765558" w:rsidP="008C3D7F">
      <w:pPr>
        <w:rPr>
          <w:rStyle w:val="vshid"/>
        </w:rPr>
      </w:pPr>
      <w:r>
        <w:t xml:space="preserve">(Site </w:t>
      </w:r>
      <w:hyperlink r:id="rId7" w:history="1">
        <w:r w:rsidRPr="002B3D89">
          <w:rPr>
            <w:rStyle w:val="Lienhypertexte"/>
            <w:rFonts w:cs="Arial"/>
          </w:rPr>
          <w:t>www.</w:t>
        </w:r>
        <w:r w:rsidRPr="002B3D89">
          <w:rPr>
            <w:rStyle w:val="Lienhypertexte"/>
            <w:rFonts w:cs="Arial"/>
            <w:b/>
            <w:bCs/>
          </w:rPr>
          <w:t>developpement</w:t>
        </w:r>
        <w:r w:rsidRPr="002B3D89">
          <w:rPr>
            <w:rStyle w:val="Lienhypertexte"/>
            <w:rFonts w:cs="Arial"/>
          </w:rPr>
          <w:t>-</w:t>
        </w:r>
        <w:r w:rsidRPr="002B3D89">
          <w:rPr>
            <w:rStyle w:val="Lienhypertexte"/>
            <w:rFonts w:cs="Arial"/>
            <w:b/>
            <w:bCs/>
          </w:rPr>
          <w:t>durable</w:t>
        </w:r>
        <w:r w:rsidRPr="002B3D89">
          <w:rPr>
            <w:rStyle w:val="Lienhypertexte"/>
            <w:rFonts w:cs="Arial"/>
          </w:rPr>
          <w:t>.gouv.fr/</w:t>
        </w:r>
      </w:hyperlink>
      <w:r>
        <w:rPr>
          <w:rStyle w:val="vshid"/>
        </w:rPr>
        <w:t xml:space="preserve">  des exemples et des documents notamment sur  l’impact éolien et </w:t>
      </w:r>
      <w:proofErr w:type="spellStart"/>
      <w:r>
        <w:rPr>
          <w:rStyle w:val="vshid"/>
        </w:rPr>
        <w:t>hydrolien</w:t>
      </w:r>
      <w:proofErr w:type="spellEnd"/>
      <w:r>
        <w:rPr>
          <w:rStyle w:val="vshid"/>
        </w:rPr>
        <w:t>)</w:t>
      </w:r>
    </w:p>
    <w:p w14:paraId="1946B3EB" w14:textId="77777777" w:rsidR="00765558" w:rsidRPr="00A65986" w:rsidRDefault="00765558" w:rsidP="008C3D7F">
      <w:pPr>
        <w:rPr>
          <w:rStyle w:val="vshid"/>
          <w:b/>
          <w:sz w:val="24"/>
        </w:rPr>
      </w:pPr>
    </w:p>
    <w:p w14:paraId="69013439" w14:textId="77777777" w:rsidR="00765558" w:rsidRDefault="00765558" w:rsidP="008C3D7F">
      <w:r w:rsidRPr="00A65986">
        <w:rPr>
          <w:b/>
          <w:sz w:val="24"/>
        </w:rPr>
        <w:t>Transport de l’énergie électrique :</w:t>
      </w:r>
    </w:p>
    <w:p w14:paraId="2284DDA3" w14:textId="229A4885" w:rsidR="00765558" w:rsidRPr="00C415C2" w:rsidRDefault="00765558" w:rsidP="006D0BEC">
      <w:pPr>
        <w:spacing w:line="280" w:lineRule="exact"/>
        <w:ind w:right="-1"/>
        <w:rPr>
          <w:color w:val="000000"/>
          <w:szCs w:val="20"/>
        </w:rPr>
      </w:pPr>
      <w:r w:rsidRPr="00C415C2">
        <w:rPr>
          <w:color w:val="000000"/>
          <w:szCs w:val="20"/>
        </w:rPr>
        <w:t>Chaque fois que l'on allume une lampe électrique ou que l'on démarre u</w:t>
      </w:r>
      <w:r w:rsidR="00681B74">
        <w:rPr>
          <w:color w:val="000000"/>
          <w:szCs w:val="20"/>
        </w:rPr>
        <w:t xml:space="preserve">n moteur, il faut simultanément </w:t>
      </w:r>
      <w:r w:rsidRPr="00C415C2">
        <w:rPr>
          <w:color w:val="000000"/>
          <w:szCs w:val="20"/>
        </w:rPr>
        <w:t>produire et transporter l'énergie. L'une des raisons principales du succès de l'électricité tient à ce qu'elle est très facilement transportable.</w:t>
      </w:r>
    </w:p>
    <w:p w14:paraId="16FAEC38" w14:textId="77777777" w:rsidR="00765558" w:rsidRPr="00A65986" w:rsidRDefault="00765558" w:rsidP="008C3D7F">
      <w:pPr>
        <w:rPr>
          <w:rFonts w:cs="Arial"/>
          <w:sz w:val="24"/>
        </w:rPr>
      </w:pPr>
    </w:p>
    <w:p w14:paraId="0A2B2C8F" w14:textId="77777777" w:rsidR="00765558" w:rsidRDefault="00765558" w:rsidP="00A65986">
      <w:pPr>
        <w:pStyle w:val="Titre1"/>
        <w:numPr>
          <w:ilvl w:val="0"/>
          <w:numId w:val="0"/>
        </w:numPr>
      </w:pPr>
    </w:p>
    <w:p w14:paraId="6299F3B2" w14:textId="1CAFEE55" w:rsidR="00765558" w:rsidRPr="009E7BF4" w:rsidRDefault="4C1C55B0" w:rsidP="4C1C55B0">
      <w:pPr>
        <w:pStyle w:val="Titre1"/>
        <w:numPr>
          <w:ilvl w:val="0"/>
          <w:numId w:val="0"/>
        </w:numPr>
        <w:rPr>
          <w:rFonts w:ascii="Arial" w:hAnsi="Arial" w:cs="Arial"/>
          <w:sz w:val="24"/>
          <w:szCs w:val="24"/>
        </w:rPr>
      </w:pPr>
      <w:r w:rsidRPr="009E7BF4">
        <w:rPr>
          <w:rFonts w:ascii="Arial" w:hAnsi="Arial" w:cs="Arial"/>
          <w:sz w:val="24"/>
          <w:szCs w:val="24"/>
        </w:rPr>
        <w:t>Rôle des postes d’interconnexion  de l'énergie électrique</w:t>
      </w:r>
    </w:p>
    <w:p w14:paraId="4B95D1E3" w14:textId="77777777" w:rsidR="00765558" w:rsidRPr="009E7BF4" w:rsidRDefault="00765558" w:rsidP="009E7B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0"/>
        <w:rPr>
          <w:szCs w:val="20"/>
        </w:rPr>
      </w:pPr>
      <w:r w:rsidRPr="009E7BF4">
        <w:rPr>
          <w:szCs w:val="20"/>
        </w:rPr>
        <w:t>Le réseau de transport, par son interconnexion, assure en permanence une liaison entre les centrales de production et les lieux de consommation, sachant que l'électricité ne se stocke pas.</w:t>
      </w:r>
    </w:p>
    <w:p w14:paraId="0DC4C7B0" w14:textId="77777777" w:rsidR="00765558" w:rsidRPr="009E7BF4" w:rsidRDefault="00765558" w:rsidP="009E7B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0"/>
        <w:rPr>
          <w:szCs w:val="20"/>
        </w:rPr>
      </w:pPr>
      <w:r w:rsidRPr="009E7BF4">
        <w:rPr>
          <w:szCs w:val="20"/>
        </w:rPr>
        <w:t xml:space="preserve">Toutes les lignes à très haute tension (THT) sont interconnectées, c'est-à-dire qu'elles sont reliées par des </w:t>
      </w:r>
      <w:r w:rsidRPr="009E7BF4">
        <w:rPr>
          <w:i/>
          <w:szCs w:val="20"/>
        </w:rPr>
        <w:t xml:space="preserve">postes d'interconnexion </w:t>
      </w:r>
      <w:r w:rsidRPr="009E7BF4">
        <w:rPr>
          <w:szCs w:val="20"/>
        </w:rPr>
        <w:t xml:space="preserve">assurant la continuité entre les lignes de différents niveaux de tension. L'interconnexion permet: - des échanges d'énergie entre les régions; - </w:t>
      </w:r>
      <w:r w:rsidRPr="009E7BF4">
        <w:rPr>
          <w:szCs w:val="20"/>
        </w:rPr>
        <w:lastRenderedPageBreak/>
        <w:t>en cas de défaut sur une ligne ou dans une centrale, l'alimentation par une autre ligne; - des échanges vers les pays voisins (exportation d'énergie).</w:t>
      </w:r>
    </w:p>
    <w:p w14:paraId="2887C46A" w14:textId="77777777" w:rsidR="00765558" w:rsidRDefault="00681B74" w:rsidP="009E7BF4">
      <w:r>
        <w:pict w14:anchorId="55902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9pt;height:410.7pt" fillcolor="window">
            <v:imagedata r:id="rId8" o:title=""/>
          </v:shape>
        </w:pict>
      </w:r>
    </w:p>
    <w:p w14:paraId="69F92787" w14:textId="77777777" w:rsidR="00765558" w:rsidRPr="006A1F76" w:rsidRDefault="00765558" w:rsidP="009E7BF4">
      <w:pPr>
        <w:rPr>
          <w:b/>
          <w:sz w:val="24"/>
        </w:rPr>
      </w:pPr>
      <w:r w:rsidRPr="006A1F76">
        <w:rPr>
          <w:b/>
          <w:sz w:val="24"/>
        </w:rPr>
        <w:t>Gestion de l’énergie électrique :</w:t>
      </w:r>
    </w:p>
    <w:p w14:paraId="5A610099" w14:textId="77777777" w:rsidR="00765558" w:rsidRDefault="00765558" w:rsidP="009E7BF4">
      <w:pPr>
        <w:rPr>
          <w:sz w:val="24"/>
        </w:rPr>
      </w:pPr>
    </w:p>
    <w:p w14:paraId="3D08AC49" w14:textId="11E2FF03" w:rsidR="00765558" w:rsidRDefault="00765558" w:rsidP="4C1C55B0">
      <w:r>
        <w:t>Le</w:t>
      </w:r>
      <w:r>
        <w:rPr>
          <w:b/>
          <w:bCs/>
        </w:rPr>
        <w:t xml:space="preserve"> Centre National d’Exploitation du Système de </w:t>
      </w:r>
      <w:r>
        <w:rPr>
          <w:rStyle w:val="highlightspan"/>
          <w:b/>
          <w:bCs/>
        </w:rPr>
        <w:t>RTE</w:t>
      </w:r>
      <w:r>
        <w:t xml:space="preserve"> </w:t>
      </w:r>
      <w:r>
        <w:rPr>
          <w:b/>
          <w:bCs/>
        </w:rPr>
        <w:t>(CNES)</w:t>
      </w:r>
      <w:r w:rsidR="4C1C55B0">
        <w:t xml:space="preserve"> est responsable de l’équilibre entre la production et la consommation, la maitrise du plan de tension et des transits sur le réseau de 400 000 volts et de la gestion des échanges d’électricité entre la France et ses pays voisins aux frontières par les 45 lignes d’</w:t>
      </w:r>
      <w:r>
        <w:rPr>
          <w:rStyle w:val="highlightspan"/>
        </w:rPr>
        <w:t>interconnexion</w:t>
      </w:r>
      <w:r>
        <w:t xml:space="preserve"> électrique.</w:t>
      </w:r>
      <w:r>
        <w:br/>
      </w:r>
      <w:r w:rsidR="4C1C55B0">
        <w:t>Les régions électriques, par le biais de leur dispatching régionaux, ont la responsabilité de la surveillance du réseau de 400 000 volts en appui du CNES, de la maitrise du plan de tension et des transits sur les réseaux inférieurs à 400 000 volts (225, 90 et 63 000 volts) et de la télécommande des postes haute tension.</w:t>
      </w:r>
    </w:p>
    <w:p w14:paraId="1E125032" w14:textId="7DA4DC26" w:rsidR="00765558" w:rsidRDefault="00765558" w:rsidP="009E7BF4">
      <w:r>
        <w:t xml:space="preserve">Chacune des 7 unités régionales de RTE </w:t>
      </w:r>
      <w:r>
        <w:rPr>
          <w:b/>
          <w:bCs/>
        </w:rPr>
        <w:t>est dotée de son dispatching régional</w:t>
      </w:r>
      <w:r>
        <w:t xml:space="preserve"> : des équipes se relaient 24h sur 24 et 7 jours/ 7 pour veiller à l'équilibre production-consommation au niveau de la région concernée, en supervisant en temps réel l’état du réseau haute et très haute tension.</w:t>
      </w:r>
      <w:r>
        <w:br/>
        <w:t xml:space="preserve">Les équipes des </w:t>
      </w:r>
      <w:r w:rsidR="00681B74">
        <w:t>dispatchings</w:t>
      </w:r>
      <w:r>
        <w:t xml:space="preserve"> ordonnent en temps réel les manœuvres nécessaires pour aiguiller l’électricité de manière optimale, quelle que soit la situation à laquelle elles peuvent être confrontées (incidents sur le réseau, aléas climatiques…). Les ordres sont soit télécommandés, soit transmis par téléphone (lignes sécurisées) vers les postes de transformation électriques sur tout le territoire du réseau de RTE.</w:t>
      </w:r>
    </w:p>
    <w:p w14:paraId="06577E69" w14:textId="77777777" w:rsidR="00765558" w:rsidRDefault="00765558" w:rsidP="009E7BF4"/>
    <w:p w14:paraId="5359D1B7" w14:textId="77777777" w:rsidR="00765558" w:rsidRDefault="00765558" w:rsidP="009E7BF4">
      <w:pPr>
        <w:rPr>
          <w:b/>
          <w:sz w:val="24"/>
        </w:rPr>
      </w:pPr>
      <w:r w:rsidRPr="00B123BA">
        <w:rPr>
          <w:b/>
          <w:sz w:val="24"/>
        </w:rPr>
        <w:t>Comptage et facturation de l’énergie</w:t>
      </w:r>
      <w:r>
        <w:rPr>
          <w:b/>
          <w:sz w:val="24"/>
        </w:rPr>
        <w:t xml:space="preserve"> électrique</w:t>
      </w:r>
      <w:r w:rsidRPr="00B123BA">
        <w:rPr>
          <w:b/>
          <w:sz w:val="24"/>
        </w:rPr>
        <w:t> :</w:t>
      </w:r>
    </w:p>
    <w:p w14:paraId="6ABDF29B" w14:textId="77777777" w:rsidR="00765558" w:rsidRDefault="00765558" w:rsidP="009E7BF4">
      <w:pPr>
        <w:rPr>
          <w:b/>
          <w:sz w:val="24"/>
        </w:rPr>
      </w:pPr>
    </w:p>
    <w:p w14:paraId="2DCE0E78" w14:textId="77777777" w:rsidR="00765558" w:rsidRDefault="00765558" w:rsidP="009E7BF4">
      <w:pPr>
        <w:rPr>
          <w:szCs w:val="20"/>
        </w:rPr>
      </w:pPr>
      <w:r>
        <w:rPr>
          <w:szCs w:val="20"/>
        </w:rPr>
        <w:t xml:space="preserve">Tarif bleu, heures creuses, heures pleines, </w:t>
      </w:r>
      <w:proofErr w:type="spellStart"/>
      <w:r>
        <w:rPr>
          <w:szCs w:val="20"/>
        </w:rPr>
        <w:t>ejp</w:t>
      </w:r>
      <w:proofErr w:type="spellEnd"/>
      <w:r>
        <w:rPr>
          <w:szCs w:val="20"/>
        </w:rPr>
        <w:t>, tempo.</w:t>
      </w:r>
    </w:p>
    <w:p w14:paraId="15F5F2A1" w14:textId="77777777" w:rsidR="00765558" w:rsidRDefault="00765558" w:rsidP="009E7BF4">
      <w:pPr>
        <w:rPr>
          <w:szCs w:val="20"/>
        </w:rPr>
      </w:pPr>
    </w:p>
    <w:p w14:paraId="5E9F3328" w14:textId="77777777" w:rsidR="00765558" w:rsidRDefault="00765558" w:rsidP="009E7BF4">
      <w:pPr>
        <w:rPr>
          <w:szCs w:val="20"/>
        </w:rPr>
      </w:pPr>
    </w:p>
    <w:p w14:paraId="2A168169" w14:textId="77777777" w:rsidR="00765558" w:rsidRDefault="00765558" w:rsidP="4C1C55B0">
      <w:pPr>
        <w:rPr>
          <w:szCs w:val="20"/>
        </w:rPr>
      </w:pPr>
      <w:r w:rsidRPr="4C1C55B0">
        <w:rPr>
          <w:b/>
          <w:bCs/>
          <w:sz w:val="24"/>
        </w:rPr>
        <w:lastRenderedPageBreak/>
        <w:t>Transport des produits pétroliers :</w:t>
      </w:r>
    </w:p>
    <w:p w14:paraId="31F4266E" w14:textId="77777777" w:rsidR="00765558" w:rsidRDefault="00765558" w:rsidP="002077EF">
      <w:pPr>
        <w:jc w:val="left"/>
        <w:rPr>
          <w:szCs w:val="20"/>
        </w:rPr>
      </w:pPr>
    </w:p>
    <w:p w14:paraId="7F941864" w14:textId="3817E4CA" w:rsidR="00765558" w:rsidRDefault="00765558" w:rsidP="002077EF">
      <w:pPr>
        <w:jc w:val="left"/>
        <w:rPr>
          <w:szCs w:val="20"/>
        </w:rPr>
      </w:pPr>
      <w:r>
        <w:rPr>
          <w:szCs w:val="20"/>
        </w:rPr>
        <w:t xml:space="preserve">Gazoducs, oléoducs, </w:t>
      </w:r>
      <w:r w:rsidR="00681B74">
        <w:rPr>
          <w:szCs w:val="20"/>
        </w:rPr>
        <w:t>camion-citerne</w:t>
      </w:r>
      <w:r>
        <w:rPr>
          <w:szCs w:val="20"/>
        </w:rPr>
        <w:t>, méthaniers.</w:t>
      </w:r>
    </w:p>
    <w:p w14:paraId="21ADC239" w14:textId="77777777" w:rsidR="00765558" w:rsidRDefault="00765558" w:rsidP="002077EF">
      <w:pPr>
        <w:jc w:val="left"/>
        <w:rPr>
          <w:szCs w:val="20"/>
        </w:rPr>
      </w:pPr>
    </w:p>
    <w:p w14:paraId="69D1BB71" w14:textId="77777777" w:rsidR="00765558" w:rsidRDefault="00681B74" w:rsidP="002077EF">
      <w:pPr>
        <w:jc w:val="left"/>
        <w:rPr>
          <w:szCs w:val="20"/>
        </w:rPr>
      </w:pPr>
      <w:r>
        <w:rPr>
          <w:rFonts w:cs="Arial"/>
          <w:szCs w:val="20"/>
        </w:rPr>
        <w:fldChar w:fldCharType="begin"/>
      </w:r>
      <w:r>
        <w:rPr>
          <w:rFonts w:cs="Arial"/>
          <w:szCs w:val="20"/>
        </w:rPr>
        <w:instrText xml:space="preserve"> </w:instrText>
      </w:r>
      <w:r>
        <w:rPr>
          <w:rFonts w:cs="Arial"/>
          <w:szCs w:val="20"/>
        </w:rPr>
        <w:instrText>INCLUDEPICTURE  "http://www.ikonet.com/fr/ledictionnairevisuel/images/qc/reseau-oleoducs-111580.jpg" \* MERGEFORMATINET</w:instrText>
      </w:r>
      <w:r>
        <w:rPr>
          <w:rFonts w:cs="Arial"/>
          <w:szCs w:val="20"/>
        </w:rPr>
        <w:instrText xml:space="preserve"> </w:instrText>
      </w:r>
      <w:r>
        <w:rPr>
          <w:rFonts w:cs="Arial"/>
          <w:szCs w:val="20"/>
        </w:rPr>
        <w:fldChar w:fldCharType="separate"/>
      </w:r>
      <w:r>
        <w:rPr>
          <w:rFonts w:cs="Arial"/>
          <w:szCs w:val="20"/>
        </w:rPr>
        <w:pict w14:anchorId="59176681">
          <v:shape id="il_fi" o:spid="_x0000_i1026" type="#_x0000_t75" alt="" style="width:505.9pt;height:333.1pt">
            <v:imagedata r:id="rId9" r:href="rId10"/>
          </v:shape>
        </w:pict>
      </w:r>
      <w:r>
        <w:rPr>
          <w:rFonts w:cs="Arial"/>
          <w:szCs w:val="20"/>
        </w:rPr>
        <w:fldChar w:fldCharType="end"/>
      </w:r>
    </w:p>
    <w:p w14:paraId="29E5E5E0" w14:textId="5B64CF33" w:rsidR="00765558" w:rsidRDefault="4C1C55B0" w:rsidP="4C1C55B0">
      <w:pPr>
        <w:jc w:val="left"/>
        <w:rPr>
          <w:szCs w:val="20"/>
        </w:rPr>
      </w:pPr>
      <w:r>
        <w:rPr>
          <w:b/>
          <w:sz w:val="24"/>
        </w:rPr>
        <w:t>Facturation des combustibles pétroliers ou biomasse :</w:t>
      </w:r>
    </w:p>
    <w:p w14:paraId="166267D1" w14:textId="77777777" w:rsidR="00765558" w:rsidRDefault="00765558" w:rsidP="002077EF">
      <w:pPr>
        <w:jc w:val="left"/>
        <w:rPr>
          <w:szCs w:val="20"/>
        </w:rPr>
      </w:pPr>
    </w:p>
    <w:p w14:paraId="7B8FF8AB" w14:textId="719463FE" w:rsidR="00765558" w:rsidRDefault="4C1C55B0" w:rsidP="4C1C55B0">
      <w:pPr>
        <w:jc w:val="left"/>
      </w:pPr>
      <w:r>
        <w:rPr>
          <w:szCs w:val="20"/>
        </w:rPr>
        <w:t xml:space="preserve">Pompe à essence facturation au litre, fuel </w:t>
      </w:r>
      <w:proofErr w:type="spellStart"/>
      <w:r>
        <w:rPr>
          <w:szCs w:val="20"/>
        </w:rPr>
        <w:t>oil</w:t>
      </w:r>
      <w:proofErr w:type="spellEnd"/>
      <w:r>
        <w:rPr>
          <w:szCs w:val="20"/>
        </w:rPr>
        <w:t xml:space="preserve"> domestique.</w:t>
      </w:r>
    </w:p>
    <w:p w14:paraId="0798A1DE" w14:textId="0B547124" w:rsidR="4C1C55B0" w:rsidRDefault="4C1C55B0" w:rsidP="4C1C55B0">
      <w:pPr>
        <w:jc w:val="left"/>
      </w:pPr>
      <w:r>
        <w:t>Gaz propane: facturation au kg, variable suivant les distributeurs (source aqualys.fr: http://www.acqualys.fr/pages/index.php?id=464)</w:t>
      </w:r>
    </w:p>
    <w:p w14:paraId="69243A00" w14:textId="59B910AD" w:rsidR="00765558" w:rsidRDefault="4C1C55B0" w:rsidP="4C1C55B0">
      <w:pPr>
        <w:jc w:val="left"/>
      </w:pPr>
      <w:r>
        <w:rPr>
          <w:szCs w:val="20"/>
        </w:rPr>
        <w:t>Compteur de gaz et tarification suivant type de chaufferie (GDF)</w:t>
      </w:r>
    </w:p>
    <w:p w14:paraId="003FFBEC" w14:textId="15564637" w:rsidR="4C1C55B0" w:rsidRDefault="4C1C55B0" w:rsidP="4C1C55B0">
      <w:pPr>
        <w:jc w:val="left"/>
        <w:rPr>
          <w:szCs w:val="20"/>
        </w:rPr>
      </w:pPr>
      <w:r>
        <w:t>Biomasse: les différentes filières et les différents combustibles: tarification à la tonne, à la stère.</w:t>
      </w:r>
    </w:p>
    <w:p w14:paraId="73470A69" w14:textId="68A29204" w:rsidR="00765558" w:rsidRDefault="00681B74" w:rsidP="002077EF">
      <w:pPr>
        <w:jc w:val="left"/>
        <w:rPr>
          <w:szCs w:val="20"/>
        </w:rPr>
      </w:pPr>
      <w:r>
        <w:rPr>
          <w:noProof/>
        </w:rPr>
        <w:pict w14:anchorId="63C37FEF">
          <v:shape id="_x0000_s1029" type="#_x0000_t75" alt="" style="position:absolute;margin-left:278.3pt;margin-top:11.8pt;width:229.95pt;height:206.5pt;z-index:-251657216;mso-position-horizontal-relative:text;mso-position-vertical-relative:text" wrapcoords="-59 0 -59 21535 21600 21535 21600 0 -59 0">
            <v:imagedata r:id="rId11" r:href="rId12"/>
            <w10:wrap type="tight"/>
          </v:shape>
        </w:pict>
      </w:r>
    </w:p>
    <w:p w14:paraId="4F871742" w14:textId="77777777" w:rsidR="00765558" w:rsidRDefault="00765558" w:rsidP="002077EF">
      <w:pPr>
        <w:jc w:val="left"/>
        <w:rPr>
          <w:szCs w:val="20"/>
        </w:rPr>
      </w:pPr>
    </w:p>
    <w:p w14:paraId="3D597895" w14:textId="77777777" w:rsidR="00765558" w:rsidRDefault="00765558" w:rsidP="002077EF">
      <w:pPr>
        <w:jc w:val="left"/>
        <w:rPr>
          <w:szCs w:val="20"/>
        </w:rPr>
      </w:pPr>
    </w:p>
    <w:p w14:paraId="1DBD2437" w14:textId="2EE02971" w:rsidR="00765558" w:rsidRDefault="4C1C55B0" w:rsidP="4C1C55B0">
      <w:pPr>
        <w:jc w:val="left"/>
        <w:rPr>
          <w:szCs w:val="20"/>
        </w:rPr>
      </w:pPr>
      <w:r>
        <w:rPr>
          <w:b/>
          <w:sz w:val="24"/>
        </w:rPr>
        <w:t xml:space="preserve">Transport de chaleur par réseau </w:t>
      </w:r>
      <w:r w:rsidR="00681B74">
        <w:rPr>
          <w:b/>
          <w:sz w:val="24"/>
        </w:rPr>
        <w:t>collectifs :</w:t>
      </w:r>
    </w:p>
    <w:p w14:paraId="30CDA767" w14:textId="77777777" w:rsidR="00765558" w:rsidRDefault="00765558" w:rsidP="002077EF">
      <w:pPr>
        <w:jc w:val="left"/>
        <w:rPr>
          <w:szCs w:val="20"/>
        </w:rPr>
      </w:pPr>
    </w:p>
    <w:p w14:paraId="447B079A" w14:textId="72144018" w:rsidR="00765558" w:rsidRDefault="4C1C55B0" w:rsidP="4C1C55B0">
      <w:pPr>
        <w:ind w:firstLine="708"/>
        <w:jc w:val="left"/>
      </w:pPr>
      <w:r>
        <w:rPr>
          <w:szCs w:val="20"/>
        </w:rPr>
        <w:t>Réseau de distribution de chaleur par eau chaude</w:t>
      </w:r>
    </w:p>
    <w:p w14:paraId="6BA2CBC0" w14:textId="585A259F" w:rsidR="4C1C55B0" w:rsidRDefault="4C1C55B0" w:rsidP="4C1C55B0">
      <w:pPr>
        <w:ind w:firstLine="708"/>
        <w:jc w:val="left"/>
      </w:pPr>
      <w:r>
        <w:t>Réseau de vapeur urbain (type CPCU)</w:t>
      </w:r>
    </w:p>
    <w:p w14:paraId="609BAC2E" w14:textId="268FEEE2" w:rsidR="4C1C55B0" w:rsidRDefault="4C1C55B0" w:rsidP="4C1C55B0">
      <w:pPr>
        <w:ind w:firstLine="708"/>
        <w:jc w:val="left"/>
      </w:pPr>
      <w:r>
        <w:t>Réseau d'air chaud</w:t>
      </w:r>
    </w:p>
    <w:p w14:paraId="473A413D" w14:textId="761594AE" w:rsidR="4C1C55B0" w:rsidRDefault="4C1C55B0" w:rsidP="4C1C55B0">
      <w:pPr>
        <w:ind w:firstLine="708"/>
        <w:jc w:val="left"/>
      </w:pPr>
    </w:p>
    <w:p w14:paraId="6B6E6C0B" w14:textId="5266EC23" w:rsidR="4C1C55B0" w:rsidRDefault="4C1C55B0" w:rsidP="4C1C55B0">
      <w:pPr>
        <w:ind w:firstLine="708"/>
        <w:jc w:val="left"/>
      </w:pPr>
      <w:r>
        <w:t xml:space="preserve"> </w:t>
      </w:r>
      <w:r w:rsidR="00681B74">
        <w:t>Chaufferies</w:t>
      </w:r>
      <w:r>
        <w:t xml:space="preserve"> collectives,  mise en évidence de l'intérêt économique (récupération de chaleur), écologique (incinération avec récupération d'énergie, cogénération...)</w:t>
      </w:r>
    </w:p>
    <w:p w14:paraId="4AC1288A" w14:textId="41AB64BA" w:rsidR="4C1C55B0" w:rsidRDefault="4C1C55B0" w:rsidP="4C1C55B0">
      <w:pPr>
        <w:ind w:firstLine="708"/>
        <w:jc w:val="left"/>
        <w:rPr>
          <w:szCs w:val="20"/>
        </w:rPr>
      </w:pPr>
      <w:r>
        <w:t>Production centralisée dans un bâtiment ou un groupe de bâtiments</w:t>
      </w:r>
    </w:p>
    <w:p w14:paraId="42A607F4" w14:textId="42C16974" w:rsidR="4C1C55B0" w:rsidRDefault="4C1C55B0" w:rsidP="4C1C55B0">
      <w:pPr>
        <w:ind w:firstLine="708"/>
        <w:jc w:val="left"/>
      </w:pPr>
    </w:p>
    <w:p w14:paraId="33793721" w14:textId="77777777" w:rsidR="00765558" w:rsidRPr="002077EF" w:rsidRDefault="00765558" w:rsidP="002077EF">
      <w:pPr>
        <w:jc w:val="left"/>
        <w:rPr>
          <w:szCs w:val="20"/>
        </w:rPr>
      </w:pPr>
    </w:p>
    <w:p w14:paraId="032DAD6D" w14:textId="69A94165" w:rsidR="00765558" w:rsidRPr="002077EF" w:rsidRDefault="00765558" w:rsidP="002077EF">
      <w:pPr>
        <w:jc w:val="left"/>
        <w:rPr>
          <w:szCs w:val="20"/>
        </w:rPr>
      </w:pPr>
      <w:bookmarkStart w:id="0" w:name="_GoBack"/>
      <w:bookmarkEnd w:id="0"/>
      <w:r>
        <w:rPr>
          <w:szCs w:val="20"/>
        </w:rPr>
        <w:br/>
      </w:r>
    </w:p>
    <w:sectPr w:rsidR="00765558" w:rsidRPr="002077EF" w:rsidSect="008C3D7F">
      <w:headerReference w:type="default" r:id="rId13"/>
      <w:footerReference w:type="defaul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274E2" w14:textId="77777777" w:rsidR="00765558" w:rsidRDefault="00765558" w:rsidP="008C3D7F">
      <w:r>
        <w:separator/>
      </w:r>
    </w:p>
  </w:endnote>
  <w:endnote w:type="continuationSeparator" w:id="0">
    <w:p w14:paraId="341B0D98" w14:textId="77777777" w:rsidR="00765558" w:rsidRDefault="00765558"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20111" w14:textId="77777777" w:rsidR="00765558" w:rsidRDefault="00765558" w:rsidP="00720E9C">
    <w:pPr>
      <w:pStyle w:val="Pieddepage"/>
      <w:pBdr>
        <w:top w:val="thinThickSmallGap" w:sz="24" w:space="1" w:color="622423"/>
      </w:pBdr>
      <w:tabs>
        <w:tab w:val="clear" w:pos="4536"/>
        <w:tab w:val="clear" w:pos="9072"/>
        <w:tab w:val="right" w:pos="9638"/>
      </w:tabs>
      <w:rPr>
        <w:rFonts w:ascii="Cambria" w:hAnsi="Cambria"/>
      </w:rPr>
    </w:pPr>
    <w:r>
      <w:t>E.E.</w:t>
    </w:r>
    <w:r w:rsidRPr="00DA6E81">
      <w:t>-3.1_</w:t>
    </w:r>
    <w:r>
      <w:t>5</w:t>
    </w:r>
    <w:r w:rsidRPr="00AD44D3">
      <w:rPr>
        <w:rFonts w:cs="Arial"/>
      </w:rPr>
      <w:tab/>
      <w:t>Page</w:t>
    </w:r>
    <w:r>
      <w:rPr>
        <w:rFonts w:ascii="Cambria" w:hAnsi="Cambria"/>
      </w:rPr>
      <w:t xml:space="preserve"> </w:t>
    </w:r>
    <w:r w:rsidRPr="00AD44D3">
      <w:rPr>
        <w:rFonts w:cs="Arial"/>
      </w:rPr>
      <w:fldChar w:fldCharType="begin"/>
    </w:r>
    <w:r w:rsidRPr="00AD44D3">
      <w:rPr>
        <w:rFonts w:cs="Arial"/>
      </w:rPr>
      <w:instrText xml:space="preserve"> PAGE   \* MERGEFORMAT </w:instrText>
    </w:r>
    <w:r w:rsidRPr="00AD44D3">
      <w:rPr>
        <w:rFonts w:cs="Arial"/>
      </w:rPr>
      <w:fldChar w:fldCharType="separate"/>
    </w:r>
    <w:r w:rsidR="00681B74">
      <w:rPr>
        <w:rFonts w:cs="Arial"/>
        <w:noProof/>
      </w:rPr>
      <w:t>3</w:t>
    </w:r>
    <w:r w:rsidRPr="00AD44D3">
      <w:rPr>
        <w:rFonts w:cs="Arial"/>
      </w:rPr>
      <w:fldChar w:fldCharType="end"/>
    </w:r>
  </w:p>
  <w:p w14:paraId="786E5C39" w14:textId="77777777" w:rsidR="00765558" w:rsidRDefault="007655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BE32" w14:textId="77777777" w:rsidR="00765558" w:rsidRDefault="00765558" w:rsidP="008C3D7F">
      <w:r>
        <w:separator/>
      </w:r>
    </w:p>
  </w:footnote>
  <w:footnote w:type="continuationSeparator" w:id="0">
    <w:p w14:paraId="0350C14A" w14:textId="77777777" w:rsidR="00765558" w:rsidRDefault="00765558"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6C5C9" w14:textId="77777777" w:rsidR="00765558" w:rsidRPr="008C3D7F" w:rsidRDefault="00765558">
    <w:pPr>
      <w:pStyle w:val="En-tte"/>
      <w:pBdr>
        <w:bottom w:val="thickThinSmallGap" w:sz="24" w:space="1" w:color="622423"/>
      </w:pBdr>
      <w:jc w:val="center"/>
      <w:rPr>
        <w:rFonts w:ascii="Cambria" w:hAnsi="Cambria"/>
        <w:sz w:val="48"/>
        <w:szCs w:val="32"/>
      </w:rPr>
    </w:pPr>
    <w:r w:rsidRPr="008C3D7F">
      <w:rPr>
        <w:b/>
        <w:sz w:val="32"/>
      </w:rPr>
      <w:t xml:space="preserve">Spécialité </w:t>
    </w:r>
    <w:r>
      <w:rPr>
        <w:b/>
        <w:sz w:val="32"/>
      </w:rPr>
      <w:t>E.E</w:t>
    </w:r>
    <w:r w:rsidRPr="008C3D7F">
      <w:rPr>
        <w:b/>
        <w:sz w:val="32"/>
      </w:rPr>
      <w:t>.</w:t>
    </w:r>
  </w:p>
  <w:p w14:paraId="7E7B4875" w14:textId="77777777" w:rsidR="00765558" w:rsidRDefault="0076555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Titre1"/>
      <w:lvlText w:val="%1."/>
      <w:legacy w:legacy="1" w:legacySpace="0" w:legacyIndent="708"/>
      <w:lvlJc w:val="left"/>
      <w:pPr>
        <w:ind w:left="1134" w:hanging="708"/>
      </w:pPr>
      <w:rPr>
        <w:rFonts w:cs="Times New Roman"/>
      </w:rPr>
    </w:lvl>
    <w:lvl w:ilvl="1">
      <w:start w:val="1"/>
      <w:numFmt w:val="decimal"/>
      <w:pStyle w:val="Titre2"/>
      <w:lvlText w:val="%1.%2."/>
      <w:legacy w:legacy="1" w:legacySpace="0" w:legacyIndent="708"/>
      <w:lvlJc w:val="left"/>
      <w:pPr>
        <w:ind w:left="1842" w:hanging="708"/>
      </w:pPr>
      <w:rPr>
        <w:rFonts w:cs="Times New Roman"/>
      </w:rPr>
    </w:lvl>
    <w:lvl w:ilvl="2">
      <w:start w:val="1"/>
      <w:numFmt w:val="decimal"/>
      <w:pStyle w:val="Titre3"/>
      <w:lvlText w:val="%1.%2.%3."/>
      <w:legacy w:legacy="1" w:legacySpace="0" w:legacyIndent="708"/>
      <w:lvlJc w:val="left"/>
      <w:pPr>
        <w:ind w:left="2550" w:hanging="708"/>
      </w:pPr>
      <w:rPr>
        <w:rFonts w:cs="Times New Roman"/>
      </w:rPr>
    </w:lvl>
    <w:lvl w:ilvl="3">
      <w:start w:val="1"/>
      <w:numFmt w:val="decimal"/>
      <w:pStyle w:val="Titre4"/>
      <w:lvlText w:val="%1.%2.%3.%4."/>
      <w:legacy w:legacy="1" w:legacySpace="0" w:legacyIndent="708"/>
      <w:lvlJc w:val="left"/>
      <w:pPr>
        <w:ind w:left="3258" w:hanging="708"/>
      </w:pPr>
      <w:rPr>
        <w:rFonts w:cs="Times New Roman"/>
      </w:rPr>
    </w:lvl>
    <w:lvl w:ilvl="4">
      <w:start w:val="1"/>
      <w:numFmt w:val="decimal"/>
      <w:pStyle w:val="Titre5"/>
      <w:lvlText w:val="%1.%2.%3.%4.%5."/>
      <w:legacy w:legacy="1" w:legacySpace="0" w:legacyIndent="708"/>
      <w:lvlJc w:val="left"/>
      <w:pPr>
        <w:ind w:left="3966" w:hanging="708"/>
      </w:pPr>
      <w:rPr>
        <w:rFonts w:cs="Times New Roman"/>
      </w:rPr>
    </w:lvl>
    <w:lvl w:ilvl="5">
      <w:start w:val="1"/>
      <w:numFmt w:val="decimal"/>
      <w:pStyle w:val="Titre6"/>
      <w:lvlText w:val="%1.%2.%3.%4.%5.%6."/>
      <w:legacy w:legacy="1" w:legacySpace="0" w:legacyIndent="708"/>
      <w:lvlJc w:val="left"/>
      <w:pPr>
        <w:ind w:left="4674" w:hanging="708"/>
      </w:pPr>
      <w:rPr>
        <w:rFonts w:cs="Times New Roman"/>
      </w:rPr>
    </w:lvl>
    <w:lvl w:ilvl="6">
      <w:start w:val="1"/>
      <w:numFmt w:val="decimal"/>
      <w:pStyle w:val="Titre7"/>
      <w:lvlText w:val="%1.%2.%3.%4.%5.%6.%7."/>
      <w:legacy w:legacy="1" w:legacySpace="0" w:legacyIndent="708"/>
      <w:lvlJc w:val="left"/>
      <w:pPr>
        <w:ind w:left="5382" w:hanging="708"/>
      </w:pPr>
      <w:rPr>
        <w:rFonts w:cs="Times New Roman"/>
      </w:rPr>
    </w:lvl>
    <w:lvl w:ilvl="7">
      <w:start w:val="1"/>
      <w:numFmt w:val="decimal"/>
      <w:pStyle w:val="Titre8"/>
      <w:lvlText w:val="%1.%2.%3.%4.%5.%6.%7.%8."/>
      <w:legacy w:legacy="1" w:legacySpace="0" w:legacyIndent="708"/>
      <w:lvlJc w:val="left"/>
      <w:pPr>
        <w:ind w:left="6090" w:hanging="708"/>
      </w:pPr>
      <w:rPr>
        <w:rFonts w:cs="Times New Roman"/>
      </w:rPr>
    </w:lvl>
    <w:lvl w:ilvl="8">
      <w:start w:val="1"/>
      <w:numFmt w:val="decimal"/>
      <w:pStyle w:val="Titre9"/>
      <w:lvlText w:val="%1.%2.%3.%4.%5.%6.%7.%8.%9."/>
      <w:legacy w:legacy="1" w:legacySpace="0" w:legacyIndent="708"/>
      <w:lvlJc w:val="left"/>
      <w:pPr>
        <w:ind w:left="6798" w:hanging="708"/>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080"/>
    <w:rsid w:val="00051E0F"/>
    <w:rsid w:val="00071E41"/>
    <w:rsid w:val="000B7718"/>
    <w:rsid w:val="00124A51"/>
    <w:rsid w:val="0012799D"/>
    <w:rsid w:val="00196F89"/>
    <w:rsid w:val="001D0BDA"/>
    <w:rsid w:val="002077EF"/>
    <w:rsid w:val="00281D84"/>
    <w:rsid w:val="002B3D89"/>
    <w:rsid w:val="002C18CD"/>
    <w:rsid w:val="002E110D"/>
    <w:rsid w:val="00311B77"/>
    <w:rsid w:val="00354D2D"/>
    <w:rsid w:val="0036080F"/>
    <w:rsid w:val="0037145A"/>
    <w:rsid w:val="003C4FC1"/>
    <w:rsid w:val="00406F9C"/>
    <w:rsid w:val="00477312"/>
    <w:rsid w:val="004878E6"/>
    <w:rsid w:val="005229D4"/>
    <w:rsid w:val="00525A22"/>
    <w:rsid w:val="00550D8C"/>
    <w:rsid w:val="005746C5"/>
    <w:rsid w:val="005757EB"/>
    <w:rsid w:val="005972CE"/>
    <w:rsid w:val="005F6D16"/>
    <w:rsid w:val="00620B13"/>
    <w:rsid w:val="00681B74"/>
    <w:rsid w:val="00683388"/>
    <w:rsid w:val="006A1F76"/>
    <w:rsid w:val="006D0BEC"/>
    <w:rsid w:val="00720E9C"/>
    <w:rsid w:val="00765558"/>
    <w:rsid w:val="00774745"/>
    <w:rsid w:val="00791D44"/>
    <w:rsid w:val="00791EEF"/>
    <w:rsid w:val="007F7F53"/>
    <w:rsid w:val="00802A61"/>
    <w:rsid w:val="00862080"/>
    <w:rsid w:val="00866F36"/>
    <w:rsid w:val="008C2498"/>
    <w:rsid w:val="008C3D7F"/>
    <w:rsid w:val="008F09BE"/>
    <w:rsid w:val="009C7DF6"/>
    <w:rsid w:val="009D081D"/>
    <w:rsid w:val="009E7BF4"/>
    <w:rsid w:val="00A63D22"/>
    <w:rsid w:val="00A65986"/>
    <w:rsid w:val="00AB3B32"/>
    <w:rsid w:val="00AD44D3"/>
    <w:rsid w:val="00B123BA"/>
    <w:rsid w:val="00B5767B"/>
    <w:rsid w:val="00B71165"/>
    <w:rsid w:val="00BA501B"/>
    <w:rsid w:val="00C415C2"/>
    <w:rsid w:val="00CA22EA"/>
    <w:rsid w:val="00CA3905"/>
    <w:rsid w:val="00CD229E"/>
    <w:rsid w:val="00CE14FA"/>
    <w:rsid w:val="00D30092"/>
    <w:rsid w:val="00D61259"/>
    <w:rsid w:val="00D64037"/>
    <w:rsid w:val="00DA6E81"/>
    <w:rsid w:val="00DC51C0"/>
    <w:rsid w:val="00DD2F7D"/>
    <w:rsid w:val="00EC2293"/>
    <w:rsid w:val="00EE66AF"/>
    <w:rsid w:val="00F2697B"/>
    <w:rsid w:val="00FB49A9"/>
    <w:rsid w:val="00FC0C33"/>
    <w:rsid w:val="4C1C55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F0D5EA7"/>
  <w15:docId w15:val="{B218CC7A-DF36-4FA8-A6B3-C98CC026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pPr>
      <w:jc w:val="both"/>
    </w:pPr>
    <w:rPr>
      <w:sz w:val="20"/>
      <w:szCs w:val="24"/>
      <w:lang w:eastAsia="en-US"/>
    </w:rPr>
  </w:style>
  <w:style w:type="paragraph" w:styleId="Titre1">
    <w:name w:val="heading 1"/>
    <w:basedOn w:val="Normal"/>
    <w:next w:val="Normal"/>
    <w:link w:val="Titre1Car"/>
    <w:uiPriority w:val="99"/>
    <w:qFormat/>
    <w:locked/>
    <w:rsid w:val="00A65986"/>
    <w:pPr>
      <w:keepNext/>
      <w:numPr>
        <w:numId w:val="1"/>
      </w:numPr>
      <w:spacing w:before="240" w:after="60"/>
      <w:jc w:val="left"/>
      <w:outlineLvl w:val="0"/>
    </w:pPr>
    <w:rPr>
      <w:rFonts w:ascii="Helvetica" w:hAnsi="Helvetica"/>
      <w:b/>
      <w:kern w:val="28"/>
      <w:sz w:val="28"/>
      <w:szCs w:val="20"/>
      <w:lang w:eastAsia="fr-FR"/>
    </w:rPr>
  </w:style>
  <w:style w:type="paragraph" w:styleId="Titre2">
    <w:name w:val="heading 2"/>
    <w:basedOn w:val="Normal"/>
    <w:next w:val="Normal"/>
    <w:link w:val="Titre2Car"/>
    <w:uiPriority w:val="99"/>
    <w:qFormat/>
    <w:locked/>
    <w:rsid w:val="00A65986"/>
    <w:pPr>
      <w:keepNext/>
      <w:numPr>
        <w:ilvl w:val="1"/>
        <w:numId w:val="1"/>
      </w:numPr>
      <w:spacing w:before="240" w:after="60"/>
      <w:jc w:val="left"/>
      <w:outlineLvl w:val="1"/>
    </w:pPr>
    <w:rPr>
      <w:rFonts w:ascii="Helvetica" w:hAnsi="Helvetica"/>
      <w:b/>
      <w:i/>
      <w:sz w:val="24"/>
      <w:szCs w:val="20"/>
      <w:lang w:eastAsia="fr-FR"/>
    </w:rPr>
  </w:style>
  <w:style w:type="paragraph" w:styleId="Titre3">
    <w:name w:val="heading 3"/>
    <w:basedOn w:val="Normal"/>
    <w:next w:val="Normal"/>
    <w:link w:val="Titre3Car"/>
    <w:uiPriority w:val="99"/>
    <w:qFormat/>
    <w:locked/>
    <w:rsid w:val="00A65986"/>
    <w:pPr>
      <w:keepNext/>
      <w:numPr>
        <w:ilvl w:val="2"/>
        <w:numId w:val="1"/>
      </w:numPr>
      <w:spacing w:before="240" w:after="60"/>
      <w:jc w:val="left"/>
      <w:outlineLvl w:val="2"/>
    </w:pPr>
    <w:rPr>
      <w:rFonts w:ascii="Times" w:hAnsi="Times"/>
      <w:b/>
      <w:sz w:val="24"/>
      <w:szCs w:val="20"/>
      <w:lang w:eastAsia="fr-FR"/>
    </w:rPr>
  </w:style>
  <w:style w:type="paragraph" w:styleId="Titre4">
    <w:name w:val="heading 4"/>
    <w:basedOn w:val="Normal"/>
    <w:next w:val="Normal"/>
    <w:link w:val="Titre4Car"/>
    <w:uiPriority w:val="99"/>
    <w:qFormat/>
    <w:locked/>
    <w:rsid w:val="00A65986"/>
    <w:pPr>
      <w:keepNext/>
      <w:numPr>
        <w:ilvl w:val="3"/>
        <w:numId w:val="1"/>
      </w:numPr>
      <w:spacing w:before="240" w:after="60"/>
      <w:jc w:val="left"/>
      <w:outlineLvl w:val="3"/>
    </w:pPr>
    <w:rPr>
      <w:rFonts w:ascii="Times" w:hAnsi="Times"/>
      <w:b/>
      <w:i/>
      <w:sz w:val="24"/>
      <w:szCs w:val="20"/>
      <w:lang w:eastAsia="fr-FR"/>
    </w:rPr>
  </w:style>
  <w:style w:type="paragraph" w:styleId="Titre5">
    <w:name w:val="heading 5"/>
    <w:basedOn w:val="Normal"/>
    <w:next w:val="Normal"/>
    <w:link w:val="Titre5Car"/>
    <w:uiPriority w:val="99"/>
    <w:qFormat/>
    <w:locked/>
    <w:rsid w:val="00A65986"/>
    <w:pPr>
      <w:numPr>
        <w:ilvl w:val="4"/>
        <w:numId w:val="1"/>
      </w:numPr>
      <w:spacing w:before="240" w:after="60"/>
      <w:jc w:val="left"/>
      <w:outlineLvl w:val="4"/>
    </w:pPr>
    <w:rPr>
      <w:rFonts w:ascii="Helvetica" w:hAnsi="Helvetica"/>
      <w:sz w:val="22"/>
      <w:szCs w:val="20"/>
      <w:lang w:eastAsia="fr-FR"/>
    </w:rPr>
  </w:style>
  <w:style w:type="paragraph" w:styleId="Titre6">
    <w:name w:val="heading 6"/>
    <w:basedOn w:val="Normal"/>
    <w:next w:val="Normal"/>
    <w:link w:val="Titre6Car"/>
    <w:uiPriority w:val="99"/>
    <w:qFormat/>
    <w:locked/>
    <w:rsid w:val="00A65986"/>
    <w:pPr>
      <w:numPr>
        <w:ilvl w:val="5"/>
        <w:numId w:val="1"/>
      </w:numPr>
      <w:spacing w:before="240" w:after="60"/>
      <w:jc w:val="left"/>
      <w:outlineLvl w:val="5"/>
    </w:pPr>
    <w:rPr>
      <w:rFonts w:ascii="Helvetica" w:hAnsi="Helvetica"/>
      <w:i/>
      <w:sz w:val="22"/>
      <w:szCs w:val="20"/>
      <w:lang w:eastAsia="fr-FR"/>
    </w:rPr>
  </w:style>
  <w:style w:type="paragraph" w:styleId="Titre7">
    <w:name w:val="heading 7"/>
    <w:basedOn w:val="Normal"/>
    <w:next w:val="Normal"/>
    <w:link w:val="Titre7Car"/>
    <w:uiPriority w:val="99"/>
    <w:qFormat/>
    <w:locked/>
    <w:rsid w:val="00A65986"/>
    <w:pPr>
      <w:numPr>
        <w:ilvl w:val="6"/>
        <w:numId w:val="1"/>
      </w:numPr>
      <w:spacing w:before="240" w:after="60"/>
      <w:jc w:val="left"/>
      <w:outlineLvl w:val="6"/>
    </w:pPr>
    <w:rPr>
      <w:rFonts w:ascii="Helvetica" w:hAnsi="Helvetica"/>
      <w:szCs w:val="20"/>
      <w:lang w:eastAsia="fr-FR"/>
    </w:rPr>
  </w:style>
  <w:style w:type="paragraph" w:styleId="Titre8">
    <w:name w:val="heading 8"/>
    <w:basedOn w:val="Normal"/>
    <w:next w:val="Normal"/>
    <w:link w:val="Titre8Car"/>
    <w:uiPriority w:val="99"/>
    <w:qFormat/>
    <w:locked/>
    <w:rsid w:val="00A65986"/>
    <w:pPr>
      <w:numPr>
        <w:ilvl w:val="7"/>
        <w:numId w:val="1"/>
      </w:numPr>
      <w:spacing w:before="240" w:after="60"/>
      <w:jc w:val="left"/>
      <w:outlineLvl w:val="7"/>
    </w:pPr>
    <w:rPr>
      <w:rFonts w:ascii="Helvetica" w:hAnsi="Helvetica"/>
      <w:i/>
      <w:szCs w:val="20"/>
      <w:lang w:eastAsia="fr-FR"/>
    </w:rPr>
  </w:style>
  <w:style w:type="paragraph" w:styleId="Titre9">
    <w:name w:val="heading 9"/>
    <w:basedOn w:val="Normal"/>
    <w:next w:val="Normal"/>
    <w:link w:val="Titre9Car"/>
    <w:uiPriority w:val="99"/>
    <w:qFormat/>
    <w:locked/>
    <w:rsid w:val="00A65986"/>
    <w:pPr>
      <w:numPr>
        <w:ilvl w:val="8"/>
        <w:numId w:val="1"/>
      </w:numPr>
      <w:spacing w:before="240" w:after="60"/>
      <w:jc w:val="left"/>
      <w:outlineLvl w:val="8"/>
    </w:pPr>
    <w:rPr>
      <w:rFonts w:ascii="Helvetica" w:hAnsi="Helvetica"/>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4878E6"/>
    <w:rPr>
      <w:rFonts w:ascii="Cambria" w:hAnsi="Cambria" w:cs="Times New Roman"/>
      <w:b/>
      <w:bCs/>
      <w:kern w:val="32"/>
      <w:sz w:val="32"/>
      <w:szCs w:val="32"/>
      <w:lang w:eastAsia="en-US"/>
    </w:rPr>
  </w:style>
  <w:style w:type="character" w:customStyle="1" w:styleId="Titre2Car">
    <w:name w:val="Titre 2 Car"/>
    <w:basedOn w:val="Policepardfaut"/>
    <w:link w:val="Titre2"/>
    <w:uiPriority w:val="99"/>
    <w:semiHidden/>
    <w:locked/>
    <w:rsid w:val="004878E6"/>
    <w:rPr>
      <w:rFonts w:ascii="Cambria" w:hAnsi="Cambria" w:cs="Times New Roman"/>
      <w:b/>
      <w:bCs/>
      <w:i/>
      <w:iCs/>
      <w:sz w:val="28"/>
      <w:szCs w:val="28"/>
      <w:lang w:eastAsia="en-US"/>
    </w:rPr>
  </w:style>
  <w:style w:type="character" w:customStyle="1" w:styleId="Titre3Car">
    <w:name w:val="Titre 3 Car"/>
    <w:basedOn w:val="Policepardfaut"/>
    <w:link w:val="Titre3"/>
    <w:uiPriority w:val="99"/>
    <w:semiHidden/>
    <w:locked/>
    <w:rsid w:val="004878E6"/>
    <w:rPr>
      <w:rFonts w:ascii="Cambria" w:hAnsi="Cambria" w:cs="Times New Roman"/>
      <w:b/>
      <w:bCs/>
      <w:sz w:val="26"/>
      <w:szCs w:val="26"/>
      <w:lang w:eastAsia="en-US"/>
    </w:rPr>
  </w:style>
  <w:style w:type="character" w:customStyle="1" w:styleId="Titre4Car">
    <w:name w:val="Titre 4 Car"/>
    <w:basedOn w:val="Policepardfaut"/>
    <w:link w:val="Titre4"/>
    <w:uiPriority w:val="99"/>
    <w:semiHidden/>
    <w:locked/>
    <w:rsid w:val="004878E6"/>
    <w:rPr>
      <w:rFonts w:ascii="Calibri" w:hAnsi="Calibri" w:cs="Times New Roman"/>
      <w:b/>
      <w:bCs/>
      <w:sz w:val="28"/>
      <w:szCs w:val="28"/>
      <w:lang w:eastAsia="en-US"/>
    </w:rPr>
  </w:style>
  <w:style w:type="character" w:customStyle="1" w:styleId="Titre5Car">
    <w:name w:val="Titre 5 Car"/>
    <w:basedOn w:val="Policepardfaut"/>
    <w:link w:val="Titre5"/>
    <w:uiPriority w:val="99"/>
    <w:semiHidden/>
    <w:locked/>
    <w:rsid w:val="004878E6"/>
    <w:rPr>
      <w:rFonts w:ascii="Calibri" w:hAnsi="Calibri" w:cs="Times New Roman"/>
      <w:b/>
      <w:bCs/>
      <w:i/>
      <w:iCs/>
      <w:sz w:val="26"/>
      <w:szCs w:val="26"/>
      <w:lang w:eastAsia="en-US"/>
    </w:rPr>
  </w:style>
  <w:style w:type="character" w:customStyle="1" w:styleId="Titre6Car">
    <w:name w:val="Titre 6 Car"/>
    <w:basedOn w:val="Policepardfaut"/>
    <w:link w:val="Titre6"/>
    <w:uiPriority w:val="99"/>
    <w:semiHidden/>
    <w:locked/>
    <w:rsid w:val="004878E6"/>
    <w:rPr>
      <w:rFonts w:ascii="Calibri" w:hAnsi="Calibri" w:cs="Times New Roman"/>
      <w:b/>
      <w:bCs/>
      <w:lang w:eastAsia="en-US"/>
    </w:rPr>
  </w:style>
  <w:style w:type="character" w:customStyle="1" w:styleId="Titre7Car">
    <w:name w:val="Titre 7 Car"/>
    <w:basedOn w:val="Policepardfaut"/>
    <w:link w:val="Titre7"/>
    <w:uiPriority w:val="99"/>
    <w:semiHidden/>
    <w:locked/>
    <w:rsid w:val="004878E6"/>
    <w:rPr>
      <w:rFonts w:ascii="Calibri" w:hAnsi="Calibri" w:cs="Times New Roman"/>
      <w:sz w:val="24"/>
      <w:szCs w:val="24"/>
      <w:lang w:eastAsia="en-US"/>
    </w:rPr>
  </w:style>
  <w:style w:type="character" w:customStyle="1" w:styleId="Titre8Car">
    <w:name w:val="Titre 8 Car"/>
    <w:basedOn w:val="Policepardfaut"/>
    <w:link w:val="Titre8"/>
    <w:uiPriority w:val="99"/>
    <w:semiHidden/>
    <w:locked/>
    <w:rsid w:val="004878E6"/>
    <w:rPr>
      <w:rFonts w:ascii="Calibri" w:hAnsi="Calibri" w:cs="Times New Roman"/>
      <w:i/>
      <w:iCs/>
      <w:sz w:val="24"/>
      <w:szCs w:val="24"/>
      <w:lang w:eastAsia="en-US"/>
    </w:rPr>
  </w:style>
  <w:style w:type="character" w:customStyle="1" w:styleId="Titre9Car">
    <w:name w:val="Titre 9 Car"/>
    <w:basedOn w:val="Policepardfaut"/>
    <w:link w:val="Titre9"/>
    <w:uiPriority w:val="99"/>
    <w:semiHidden/>
    <w:locked/>
    <w:rsid w:val="004878E6"/>
    <w:rPr>
      <w:rFonts w:ascii="Cambria" w:hAnsi="Cambria" w:cs="Times New Roman"/>
      <w:lang w:eastAsia="en-US"/>
    </w:rPr>
  </w:style>
  <w:style w:type="paragraph" w:styleId="Titre">
    <w:name w:val="Title"/>
    <w:basedOn w:val="Normal"/>
    <w:next w:val="Normal"/>
    <w:link w:val="TitreCar"/>
    <w:uiPriority w:val="99"/>
    <w:qFormat/>
    <w:rsid w:val="008C3D7F"/>
    <w:pPr>
      <w:pBdr>
        <w:bottom w:val="single" w:sz="8" w:space="4" w:color="4F81BD"/>
      </w:pBdr>
      <w:spacing w:after="300"/>
      <w:contextualSpacing/>
    </w:pPr>
    <w:rPr>
      <w:rFonts w:eastAsia="Times New Roman"/>
      <w:spacing w:val="5"/>
      <w:kern w:val="28"/>
      <w:sz w:val="36"/>
      <w:szCs w:val="52"/>
    </w:rPr>
  </w:style>
  <w:style w:type="character" w:customStyle="1" w:styleId="TitreCar">
    <w:name w:val="Titre Car"/>
    <w:basedOn w:val="Policepardfaut"/>
    <w:link w:val="Titre"/>
    <w:uiPriority w:val="99"/>
    <w:locked/>
    <w:rsid w:val="008C3D7F"/>
    <w:rPr>
      <w:rFonts w:eastAsia="Times New Roman" w:cs="Times New Roman"/>
      <w:spacing w:val="5"/>
      <w:kern w:val="28"/>
      <w:sz w:val="52"/>
      <w:szCs w:val="52"/>
    </w:rPr>
  </w:style>
  <w:style w:type="paragraph" w:styleId="En-tte">
    <w:name w:val="header"/>
    <w:basedOn w:val="Normal"/>
    <w:link w:val="En-tteCar"/>
    <w:uiPriority w:val="99"/>
    <w:rsid w:val="008C3D7F"/>
    <w:pPr>
      <w:tabs>
        <w:tab w:val="center" w:pos="4536"/>
        <w:tab w:val="right" w:pos="9072"/>
      </w:tabs>
    </w:pPr>
  </w:style>
  <w:style w:type="character" w:customStyle="1" w:styleId="En-tteCar">
    <w:name w:val="En-tête Car"/>
    <w:basedOn w:val="Policepardfaut"/>
    <w:link w:val="En-tte"/>
    <w:uiPriority w:val="99"/>
    <w:locked/>
    <w:rsid w:val="008C3D7F"/>
    <w:rPr>
      <w:rFonts w:cs="Times New Roman"/>
    </w:rPr>
  </w:style>
  <w:style w:type="paragraph" w:styleId="Pieddepage">
    <w:name w:val="footer"/>
    <w:basedOn w:val="Normal"/>
    <w:link w:val="PieddepageCar"/>
    <w:uiPriority w:val="99"/>
    <w:rsid w:val="008C3D7F"/>
    <w:pPr>
      <w:tabs>
        <w:tab w:val="center" w:pos="4536"/>
        <w:tab w:val="right" w:pos="9072"/>
      </w:tabs>
    </w:pPr>
  </w:style>
  <w:style w:type="character" w:customStyle="1" w:styleId="PieddepageCar">
    <w:name w:val="Pied de page Car"/>
    <w:basedOn w:val="Policepardfaut"/>
    <w:link w:val="Pieddepage"/>
    <w:uiPriority w:val="99"/>
    <w:locked/>
    <w:rsid w:val="008C3D7F"/>
    <w:rPr>
      <w:rFonts w:cs="Times New Roman"/>
    </w:rPr>
  </w:style>
  <w:style w:type="paragraph" w:styleId="Textedebulles">
    <w:name w:val="Balloon Text"/>
    <w:basedOn w:val="Normal"/>
    <w:link w:val="TextedebullesCar"/>
    <w:uiPriority w:val="99"/>
    <w:semiHidden/>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C3D7F"/>
    <w:rPr>
      <w:rFonts w:ascii="Tahoma" w:hAnsi="Tahoma" w:cs="Tahoma"/>
      <w:sz w:val="16"/>
      <w:szCs w:val="16"/>
    </w:rPr>
  </w:style>
  <w:style w:type="table" w:styleId="Grilledutableau">
    <w:name w:val="Table Grid"/>
    <w:basedOn w:val="TableauNormal"/>
    <w:uiPriority w:val="99"/>
    <w:rsid w:val="008C3D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311B77"/>
    <w:rPr>
      <w:rFonts w:cs="Times New Roman"/>
      <w:color w:val="0000FF"/>
      <w:u w:val="single"/>
    </w:rPr>
  </w:style>
  <w:style w:type="character" w:styleId="CitationHTML">
    <w:name w:val="HTML Cite"/>
    <w:basedOn w:val="Policepardfaut"/>
    <w:uiPriority w:val="99"/>
    <w:rsid w:val="008C2498"/>
    <w:rPr>
      <w:rFonts w:cs="Times New Roman"/>
      <w:i/>
      <w:iCs/>
    </w:rPr>
  </w:style>
  <w:style w:type="character" w:customStyle="1" w:styleId="vshid">
    <w:name w:val="vshid"/>
    <w:basedOn w:val="Policepardfaut"/>
    <w:uiPriority w:val="99"/>
    <w:rsid w:val="008C2498"/>
    <w:rPr>
      <w:rFonts w:cs="Times New Roman"/>
    </w:rPr>
  </w:style>
  <w:style w:type="character" w:customStyle="1" w:styleId="highlightspan">
    <w:name w:val="highlightspan"/>
    <w:basedOn w:val="Policepardfaut"/>
    <w:uiPriority w:val="99"/>
    <w:rsid w:val="005746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veloppement-durable.gouv.fr/" TargetMode="External"/><Relationship Id="rId12" Type="http://schemas.openxmlformats.org/officeDocument/2006/relationships/image" Target="http://www.stsp.fr/images/schemaProductionClassique.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www.ikonet.com/fr/ledictionnairevisuel/images/qc/reseau-oleoducs-111580.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1</TotalTime>
  <Pages>3</Pages>
  <Words>800</Words>
  <Characters>4406</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E.E.</dc:title>
  <dc:subject/>
  <dc:creator>Patrick Cohen</dc:creator>
  <cp:keywords/>
  <dc:description/>
  <cp:lastModifiedBy>Elias BAZAH</cp:lastModifiedBy>
  <cp:revision>23</cp:revision>
  <dcterms:created xsi:type="dcterms:W3CDTF">2015-04-06T06:59:00Z</dcterms:created>
  <dcterms:modified xsi:type="dcterms:W3CDTF">2015-04-06T07:00:00Z</dcterms:modified>
</cp:coreProperties>
</file>