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454BC4" w:rsidP="00071E41">
            <w:pPr>
              <w:rPr>
                <w:b/>
                <w:sz w:val="26"/>
                <w:szCs w:val="26"/>
              </w:rPr>
            </w:pPr>
            <w:r w:rsidRPr="00454BC4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454BC4" w:rsidP="00071E41">
            <w:r>
              <w:t xml:space="preserve">Vivre </w:t>
            </w:r>
            <w:r w:rsidRPr="00454BC4">
              <w:t>les principales phases d’un projet planifié dont l’objectif est la mise en œuvre, la modification et/ou l’amélioration d’un système.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454BC4" w:rsidP="00071E41">
            <w:r w:rsidRPr="00454BC4">
              <w:t>1.1 La démarche de projet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0B0EC0" w:rsidP="00071E41">
            <w:r w:rsidRPr="000B0EC0">
              <w:t>1.1.1 Les projets industriels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1845DF" w:rsidP="00071E41">
            <w:r w:rsidRPr="001845DF">
              <w:t>Étapes et planification d’un projet technologique (revues de projets, travail collaboratif en équipe projet : ENT, base de données, formats d’échange, carte mentale, flux opérationnels)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7D0F61" w:rsidRPr="007D0F61" w:rsidRDefault="007D0F61" w:rsidP="007D0F61">
            <w:pPr>
              <w:rPr>
                <w:i/>
              </w:rPr>
            </w:pPr>
            <w:r w:rsidRPr="007D0F61">
              <w:rPr>
                <w:i/>
              </w:rPr>
              <w:t>Utiliser les outils adaptés pour planifier un projet (diagramme de Gantt, chemin critique, données économiques, réunions de projet), réaliser des microprojets pluridisciplinaires au regard des activités du tronc commun</w:t>
            </w:r>
          </w:p>
          <w:p w:rsidR="008C3D7F" w:rsidRPr="005F6D16" w:rsidRDefault="007D0F61" w:rsidP="007D0F61">
            <w:pPr>
              <w:rPr>
                <w:i/>
              </w:rPr>
            </w:pPr>
            <w:r w:rsidRPr="007D0F61">
              <w:rPr>
                <w:i/>
              </w:rPr>
              <w:t>La réalisation se limite à la conception d’un prototype de qualité industrielle. Les cartes électroniques sont conçues par association de fonctions et/ou de constituants intégrés. Les circuits imprimés ne sont pas réalisés dans l’établissement.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F9" w:rsidRDefault="00BE08F9" w:rsidP="008C3D7F">
      <w:r>
        <w:separator/>
      </w:r>
    </w:p>
  </w:endnote>
  <w:endnote w:type="continuationSeparator" w:id="0">
    <w:p w:rsidR="00BE08F9" w:rsidRDefault="00BE08F9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454BC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A6E81">
      <w:t>S.I.N.-1.1.</w:t>
    </w:r>
    <w:r w:rsidR="001845DF">
      <w:t>2_1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B85003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B85003" w:rsidRPr="00AD44D3">
      <w:rPr>
        <w:rFonts w:cs="Arial"/>
      </w:rPr>
      <w:fldChar w:fldCharType="separate"/>
    </w:r>
    <w:r w:rsidR="001845DF">
      <w:rPr>
        <w:rFonts w:cs="Arial"/>
        <w:noProof/>
      </w:rPr>
      <w:t>1</w:t>
    </w:r>
    <w:r w:rsidR="00B85003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F9" w:rsidRDefault="00BE08F9" w:rsidP="008C3D7F">
      <w:r>
        <w:separator/>
      </w:r>
    </w:p>
  </w:footnote>
  <w:footnote w:type="continuationSeparator" w:id="0">
    <w:p w:rsidR="00BE08F9" w:rsidRDefault="00BE08F9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11DF3F95BAD541C88B62A161D6551A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454BC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 xml:space="preserve">Spécialité </w:t>
        </w:r>
        <w:r w:rsidR="008C3D7F" w:rsidRPr="008C3D7F">
          <w:rPr>
            <w:b/>
            <w:sz w:val="32"/>
          </w:rPr>
          <w:t>S.I.N.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C0"/>
    <w:rsid w:val="000B0EC0"/>
    <w:rsid w:val="001845DF"/>
    <w:rsid w:val="00281D84"/>
    <w:rsid w:val="0036080F"/>
    <w:rsid w:val="00406F9C"/>
    <w:rsid w:val="00454BC4"/>
    <w:rsid w:val="00477312"/>
    <w:rsid w:val="005012F6"/>
    <w:rsid w:val="005229D4"/>
    <w:rsid w:val="00525A22"/>
    <w:rsid w:val="00550D8C"/>
    <w:rsid w:val="005F6D16"/>
    <w:rsid w:val="00620B13"/>
    <w:rsid w:val="007D0F61"/>
    <w:rsid w:val="007F7F53"/>
    <w:rsid w:val="00802A61"/>
    <w:rsid w:val="008C3D7F"/>
    <w:rsid w:val="00932B00"/>
    <w:rsid w:val="00AB3B32"/>
    <w:rsid w:val="00AD44D3"/>
    <w:rsid w:val="00B5767B"/>
    <w:rsid w:val="00B85003"/>
    <w:rsid w:val="00BE08F9"/>
    <w:rsid w:val="00CA3905"/>
    <w:rsid w:val="00D30092"/>
    <w:rsid w:val="00D61259"/>
    <w:rsid w:val="00D64037"/>
    <w:rsid w:val="00DD2F7D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DF3F95BAD541C88B62A161D6551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79E10-56C2-4F64-A174-31A31167CCA0}"/>
      </w:docPartPr>
      <w:docPartBody>
        <w:p w:rsidR="00744354" w:rsidRDefault="0035612E">
          <w:pPr>
            <w:pStyle w:val="11DF3F95BAD541C88B62A161D6551A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612E"/>
    <w:rsid w:val="0035612E"/>
    <w:rsid w:val="0074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DF3F95BAD541C88B62A161D6551ADF">
    <w:name w:val="11DF3F95BAD541C88B62A161D6551ADF"/>
    <w:rsid w:val="007443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Patrick Cohen</cp:lastModifiedBy>
  <cp:revision>2</cp:revision>
  <dcterms:created xsi:type="dcterms:W3CDTF">2011-09-13T15:39:00Z</dcterms:created>
  <dcterms:modified xsi:type="dcterms:W3CDTF">2011-09-13T15:39:00Z</dcterms:modified>
</cp:coreProperties>
</file>