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772F70" w:rsidRPr="008C3D7F" w:rsidTr="00883462">
        <w:trPr>
          <w:trHeight w:val="149"/>
        </w:trPr>
        <w:tc>
          <w:tcPr>
            <w:tcW w:w="3227" w:type="dxa"/>
          </w:tcPr>
          <w:p w:rsidR="00772F70" w:rsidRPr="00802A61" w:rsidRDefault="00772F70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:rsidR="00772F70" w:rsidRPr="00772F70" w:rsidRDefault="00772F70" w:rsidP="005005E3">
            <w:pPr>
              <w:jc w:val="left"/>
              <w:rPr>
                <w:b/>
                <w:sz w:val="26"/>
                <w:szCs w:val="26"/>
              </w:rPr>
            </w:pPr>
            <w:r w:rsidRPr="00772F70">
              <w:rPr>
                <w:b/>
                <w:sz w:val="26"/>
                <w:szCs w:val="26"/>
              </w:rPr>
              <w:t>3. Solutions technologiques</w:t>
            </w:r>
          </w:p>
        </w:tc>
      </w:tr>
      <w:tr w:rsidR="00772F70" w:rsidRPr="008C3D7F" w:rsidTr="008C3D7F">
        <w:trPr>
          <w:trHeight w:val="142"/>
        </w:trPr>
        <w:tc>
          <w:tcPr>
            <w:tcW w:w="3227" w:type="dxa"/>
          </w:tcPr>
          <w:p w:rsidR="00772F70" w:rsidRPr="008C3D7F" w:rsidRDefault="00772F70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772F70" w:rsidRDefault="00772F70" w:rsidP="005005E3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233782">
              <w:t xml:space="preserve">dentifier une solution technique, </w:t>
            </w:r>
          </w:p>
          <w:p w:rsidR="00772F70" w:rsidRPr="008C3D7F" w:rsidRDefault="00772F70" w:rsidP="005005E3">
            <w:pPr>
              <w:pStyle w:val="Paragraphedeliste"/>
              <w:numPr>
                <w:ilvl w:val="0"/>
                <w:numId w:val="1"/>
              </w:numPr>
            </w:pPr>
            <w:r>
              <w:t>D</w:t>
            </w:r>
            <w:r w:rsidRPr="00233782">
              <w:t>évelopper une culture des solutions technologiques.</w:t>
            </w:r>
          </w:p>
        </w:tc>
      </w:tr>
      <w:tr w:rsidR="00772F70" w:rsidRPr="008C3D7F" w:rsidTr="008C3D7F">
        <w:trPr>
          <w:trHeight w:val="142"/>
        </w:trPr>
        <w:tc>
          <w:tcPr>
            <w:tcW w:w="3227" w:type="dxa"/>
          </w:tcPr>
          <w:p w:rsidR="00772F70" w:rsidRPr="008C3D7F" w:rsidRDefault="00772F70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772F70" w:rsidRPr="008C3D7F" w:rsidRDefault="00772F70" w:rsidP="005005E3">
            <w:r w:rsidRPr="001A7BF0">
              <w:t>3.2 Constituants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642DC4" w:rsidP="00071E41">
            <w:r w:rsidRPr="00642DC4">
              <w:t>3.2.4 Transmission de l’information, réseaux et internet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6613C4" w:rsidP="00FD18BD">
            <w:r>
              <w:t>Adresse physique (M</w:t>
            </w:r>
            <w:r w:rsidR="00FD18BD">
              <w:t>AC</w:t>
            </w:r>
            <w:r>
              <w:t>) du protocole Ethernet et adresse logique (IP) du protocole IP. Lien adresse Mac/IP : protocole ARP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642DC4" w:rsidRPr="00642DC4" w:rsidRDefault="00642DC4" w:rsidP="00642DC4">
            <w:pPr>
              <w:rPr>
                <w:i/>
              </w:rPr>
            </w:pPr>
            <w:r w:rsidRPr="00642DC4">
              <w:rPr>
                <w:i/>
              </w:rPr>
              <w:t>L’ensemble de ces domaines liés aux transmissions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de l’information sur des réseaux est étudié de manière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plus approfondie dans la spécialisation Sin.</w:t>
            </w:r>
          </w:p>
          <w:p w:rsidR="00642DC4" w:rsidRPr="00642DC4" w:rsidRDefault="00642DC4" w:rsidP="00642DC4">
            <w:pPr>
              <w:rPr>
                <w:i/>
              </w:rPr>
            </w:pPr>
            <w:r w:rsidRPr="00642DC4">
              <w:rPr>
                <w:i/>
              </w:rPr>
              <w:t>En classe de première, on se limite à la découverte de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la communication via un réseau local de type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Ethernet.</w:t>
            </w:r>
          </w:p>
          <w:p w:rsidR="008C3D7F" w:rsidRPr="005F6D16" w:rsidRDefault="00642DC4" w:rsidP="00642DC4">
            <w:pPr>
              <w:rPr>
                <w:i/>
              </w:rPr>
            </w:pPr>
            <w:r w:rsidRPr="00642DC4">
              <w:rPr>
                <w:i/>
              </w:rPr>
              <w:t>Pour la mise en œuvre des activités de travaux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pratiques sur les réseaux, s’il n’est pas possible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d’obtenir un réseau pédagogique isolé du réseau de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l'établissement (DMZ), le routeur devra être remplacé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par un modem-routeur ADSL (X-Box).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CB0AED" w:rsidP="00071E41">
            <w:hyperlink r:id="rId8" w:history="1">
              <w:r w:rsidR="002748E0" w:rsidRPr="002801E8">
                <w:rPr>
                  <w:rStyle w:val="Lienhypertexte"/>
                </w:rPr>
                <w:t>T.C.-3.2.4_4</w:t>
              </w:r>
            </w:hyperlink>
          </w:p>
        </w:tc>
      </w:tr>
    </w:tbl>
    <w:p w:rsidR="00FE3A6A" w:rsidRDefault="00FE3A6A" w:rsidP="00FE3A6A"/>
    <w:p w:rsidR="00FE3A6A" w:rsidRPr="00212A2D" w:rsidRDefault="00FE3A6A" w:rsidP="00FE3A6A">
      <w:pPr>
        <w:rPr>
          <w:b/>
          <w:u w:val="single"/>
        </w:rPr>
      </w:pPr>
      <w:r w:rsidRPr="00212A2D">
        <w:rPr>
          <w:b/>
          <w:u w:val="single"/>
        </w:rPr>
        <w:t>Pré-requis :</w:t>
      </w:r>
    </w:p>
    <w:p w:rsidR="00FE3A6A" w:rsidRDefault="00FE3A6A" w:rsidP="00FE3A6A"/>
    <w:p w:rsidR="00FE3A6A" w:rsidRDefault="0030502E" w:rsidP="0030502E">
      <w:pPr>
        <w:pStyle w:val="Paragraphedeliste"/>
        <w:numPr>
          <w:ilvl w:val="0"/>
          <w:numId w:val="2"/>
        </w:numPr>
      </w:pPr>
      <w:r>
        <w:t>Modèle en couches de</w:t>
      </w:r>
      <w:r w:rsidR="00512B7F">
        <w:t>s</w:t>
      </w:r>
      <w:r>
        <w:t xml:space="preserve"> réseaux, protocoles et encapsulation des données : </w:t>
      </w:r>
      <w:hyperlink r:id="rId9" w:history="1">
        <w:r w:rsidRPr="002801E8">
          <w:rPr>
            <w:rStyle w:val="Lienhypertexte"/>
          </w:rPr>
          <w:t>T.C.-3.2.4_4</w:t>
        </w:r>
      </w:hyperlink>
    </w:p>
    <w:p w:rsidR="00FE3A6A" w:rsidRDefault="00FE3A6A" w:rsidP="00FE3A6A"/>
    <w:p w:rsidR="00FE3A6A" w:rsidRPr="00212A2D" w:rsidRDefault="00FE3A6A" w:rsidP="00FE3A6A">
      <w:pPr>
        <w:rPr>
          <w:b/>
          <w:u w:val="single"/>
        </w:rPr>
      </w:pPr>
      <w:r w:rsidRPr="00212A2D">
        <w:rPr>
          <w:b/>
          <w:u w:val="single"/>
        </w:rPr>
        <w:t>Définitions :</w:t>
      </w:r>
    </w:p>
    <w:p w:rsidR="00FE3A6A" w:rsidRDefault="00FE3A6A" w:rsidP="00FE3A6A"/>
    <w:p w:rsidR="00C0167E" w:rsidRDefault="00E904CA" w:rsidP="00C0167E">
      <w:pPr>
        <w:ind w:firstLine="708"/>
      </w:pPr>
      <w:r>
        <w:rPr>
          <w:b/>
          <w:i/>
          <w:u w:val="single"/>
        </w:rPr>
        <w:t>Adressage</w:t>
      </w:r>
      <w:r w:rsidR="00264187">
        <w:rPr>
          <w:b/>
          <w:i/>
          <w:u w:val="single"/>
        </w:rPr>
        <w:t xml:space="preserve"> des hôtes</w:t>
      </w:r>
      <w:r w:rsidR="00C0167E">
        <w:rPr>
          <w:b/>
          <w:i/>
          <w:u w:val="single"/>
        </w:rPr>
        <w:t xml:space="preserve"> </w:t>
      </w:r>
      <w:r w:rsidR="00C0167E" w:rsidRPr="00A875C7">
        <w:rPr>
          <w:b/>
          <w:i/>
          <w:u w:val="single"/>
        </w:rPr>
        <w:t>:</w:t>
      </w:r>
    </w:p>
    <w:p w:rsidR="00C0167E" w:rsidRDefault="00C0167E" w:rsidP="00FE3A6A"/>
    <w:p w:rsidR="002A57E8" w:rsidRDefault="002A57E8" w:rsidP="00C0167E">
      <w:pPr>
        <w:pStyle w:val="Paragraphedeliste"/>
        <w:numPr>
          <w:ilvl w:val="0"/>
          <w:numId w:val="2"/>
        </w:numPr>
      </w:pPr>
      <w:r>
        <w:t xml:space="preserve">Un </w:t>
      </w:r>
      <w:r w:rsidRPr="002A57E8">
        <w:rPr>
          <w:b/>
        </w:rPr>
        <w:t>hôte</w:t>
      </w:r>
      <w:r>
        <w:t xml:space="preserve"> est un </w:t>
      </w:r>
      <w:r w:rsidRPr="002A57E8">
        <w:rPr>
          <w:b/>
        </w:rPr>
        <w:t>périphérique</w:t>
      </w:r>
      <w:r>
        <w:t xml:space="preserve"> ou une </w:t>
      </w:r>
      <w:r w:rsidRPr="002A57E8">
        <w:rPr>
          <w:b/>
        </w:rPr>
        <w:t>station</w:t>
      </w:r>
      <w:r>
        <w:t xml:space="preserve"> de travail qui communique sur un réseau. On distingue le périphérique </w:t>
      </w:r>
      <w:r w:rsidRPr="002A57E8">
        <w:rPr>
          <w:b/>
        </w:rPr>
        <w:t>source</w:t>
      </w:r>
      <w:r>
        <w:t xml:space="preserve"> (celui qui émet le message) et le périphérique de </w:t>
      </w:r>
      <w:r w:rsidRPr="002A57E8">
        <w:rPr>
          <w:b/>
        </w:rPr>
        <w:t>destination</w:t>
      </w:r>
      <w:r>
        <w:t xml:space="preserve"> (celui à qui est destiné le message).</w:t>
      </w:r>
    </w:p>
    <w:p w:rsidR="002A57E8" w:rsidRDefault="002A57E8" w:rsidP="002A57E8">
      <w:pPr>
        <w:pStyle w:val="Paragraphedeliste"/>
      </w:pPr>
    </w:p>
    <w:p w:rsidR="00C0167E" w:rsidRDefault="00C0167E" w:rsidP="00C0167E">
      <w:pPr>
        <w:pStyle w:val="Paragraphedeliste"/>
        <w:numPr>
          <w:ilvl w:val="0"/>
          <w:numId w:val="2"/>
        </w:numPr>
      </w:pPr>
      <w:r>
        <w:t>Au cours du processus d’</w:t>
      </w:r>
      <w:r w:rsidRPr="00C0167E">
        <w:rPr>
          <w:b/>
        </w:rPr>
        <w:t>encapsulation</w:t>
      </w:r>
      <w:r>
        <w:t xml:space="preserve">, des </w:t>
      </w:r>
      <w:r w:rsidRPr="00C0167E">
        <w:rPr>
          <w:b/>
        </w:rPr>
        <w:t>identificateurs d’adresse</w:t>
      </w:r>
      <w:r>
        <w:t xml:space="preserve"> </w:t>
      </w:r>
      <w:r w:rsidR="00820637" w:rsidRPr="00820637">
        <w:rPr>
          <w:b/>
        </w:rPr>
        <w:t>source</w:t>
      </w:r>
      <w:r w:rsidR="00820637">
        <w:t xml:space="preserve"> et </w:t>
      </w:r>
      <w:r w:rsidR="00820637" w:rsidRPr="00820637">
        <w:rPr>
          <w:b/>
        </w:rPr>
        <w:t>destination</w:t>
      </w:r>
      <w:r w:rsidR="002A57E8">
        <w:t xml:space="preserve"> </w:t>
      </w:r>
      <w:r>
        <w:t xml:space="preserve">sont ajoutés aux données lorsque celles-ci descendent la </w:t>
      </w:r>
      <w:r w:rsidRPr="002A57E8">
        <w:rPr>
          <w:b/>
        </w:rPr>
        <w:t>pile de protocoles</w:t>
      </w:r>
      <w:r>
        <w:t xml:space="preserve"> sur </w:t>
      </w:r>
      <w:r w:rsidRPr="00F769FF">
        <w:t>l’</w:t>
      </w:r>
      <w:r w:rsidRPr="00F769FF">
        <w:rPr>
          <w:b/>
        </w:rPr>
        <w:t>hôte source</w:t>
      </w:r>
      <w:r>
        <w:t>.</w:t>
      </w:r>
    </w:p>
    <w:p w:rsidR="00C0167E" w:rsidRDefault="00C0167E" w:rsidP="00C0167E">
      <w:pPr>
        <w:ind w:left="360"/>
      </w:pPr>
    </w:p>
    <w:p w:rsidR="00C0167E" w:rsidRDefault="00C0167E" w:rsidP="00C0167E">
      <w:pPr>
        <w:pStyle w:val="Paragraphedeliste"/>
        <w:numPr>
          <w:ilvl w:val="0"/>
          <w:numId w:val="2"/>
        </w:numPr>
      </w:pPr>
      <w:r>
        <w:t xml:space="preserve">Le premier identificateur, </w:t>
      </w:r>
      <w:r w:rsidRPr="00C0167E">
        <w:rPr>
          <w:b/>
        </w:rPr>
        <w:t>l’adresse physique</w:t>
      </w:r>
      <w:r>
        <w:t xml:space="preserve"> de l’hôte, est contenu dans l’en-tête de l’unité de données de protocole de la </w:t>
      </w:r>
      <w:r w:rsidRPr="00C0167E">
        <w:rPr>
          <w:b/>
        </w:rPr>
        <w:t>couche 2</w:t>
      </w:r>
      <w:r w:rsidR="00C74E9B">
        <w:rPr>
          <w:b/>
        </w:rPr>
        <w:t xml:space="preserve"> </w:t>
      </w:r>
      <w:r w:rsidR="00976805">
        <w:rPr>
          <w:b/>
        </w:rPr>
        <w:t>« Liaison de données </w:t>
      </w:r>
      <w:r w:rsidR="00976805" w:rsidRPr="00976805">
        <w:t>» du modèle</w:t>
      </w:r>
      <w:r w:rsidR="00976805">
        <w:rPr>
          <w:b/>
        </w:rPr>
        <w:t xml:space="preserve"> </w:t>
      </w:r>
      <w:r w:rsidR="00C74E9B">
        <w:rPr>
          <w:b/>
        </w:rPr>
        <w:t>OSI</w:t>
      </w:r>
      <w:r w:rsidR="00976805" w:rsidRPr="00976805">
        <w:t xml:space="preserve"> (</w:t>
      </w:r>
      <w:r w:rsidR="00976805">
        <w:t xml:space="preserve">couche </w:t>
      </w:r>
      <w:r w:rsidR="00976805" w:rsidRPr="00976805">
        <w:rPr>
          <w:b/>
        </w:rPr>
        <w:t>« Accès Réseau »</w:t>
      </w:r>
      <w:r w:rsidR="00976805">
        <w:rPr>
          <w:b/>
        </w:rPr>
        <w:t xml:space="preserve"> </w:t>
      </w:r>
      <w:r w:rsidR="00976805" w:rsidRPr="00976805">
        <w:t>du modèle</w:t>
      </w:r>
      <w:r w:rsidR="00976805" w:rsidRPr="00976805">
        <w:rPr>
          <w:b/>
        </w:rPr>
        <w:t xml:space="preserve"> TCP/IP</w:t>
      </w:r>
      <w:r w:rsidR="00976805" w:rsidRPr="00976805">
        <w:t>)</w:t>
      </w:r>
      <w:r w:rsidRPr="00976805">
        <w:t>,</w:t>
      </w:r>
      <w:r>
        <w:t xml:space="preserve"> appelée </w:t>
      </w:r>
      <w:r w:rsidRPr="00C0167E">
        <w:rPr>
          <w:b/>
        </w:rPr>
        <w:t>trame</w:t>
      </w:r>
      <w:r>
        <w:t xml:space="preserve">. La </w:t>
      </w:r>
      <w:r w:rsidRPr="00C0167E">
        <w:rPr>
          <w:b/>
        </w:rPr>
        <w:t>couche 2</w:t>
      </w:r>
      <w:r w:rsidR="00C74E9B">
        <w:rPr>
          <w:b/>
        </w:rPr>
        <w:t xml:space="preserve"> OSI</w:t>
      </w:r>
      <w:r>
        <w:t xml:space="preserve"> est chargée de la livraison des messages sur un réseau local unique. L’</w:t>
      </w:r>
      <w:r w:rsidRPr="00C0167E">
        <w:rPr>
          <w:b/>
        </w:rPr>
        <w:t>adresse</w:t>
      </w:r>
      <w:r>
        <w:t xml:space="preserve"> de </w:t>
      </w:r>
      <w:r w:rsidRPr="00C0167E">
        <w:rPr>
          <w:b/>
        </w:rPr>
        <w:t>couche 2</w:t>
      </w:r>
      <w:r w:rsidR="00C74E9B">
        <w:rPr>
          <w:b/>
        </w:rPr>
        <w:t xml:space="preserve"> OSI</w:t>
      </w:r>
      <w:r>
        <w:t xml:space="preserve"> est unique sur le réseau local et représente l’adresse du périphérique final sur le support physique. Dans un réseau local qui utilise </w:t>
      </w:r>
      <w:r w:rsidRPr="00C0167E">
        <w:rPr>
          <w:b/>
        </w:rPr>
        <w:t>Ethernet</w:t>
      </w:r>
      <w:r>
        <w:t xml:space="preserve">, cette adresse est appelée adresse </w:t>
      </w:r>
      <w:r w:rsidRPr="00C0167E">
        <w:rPr>
          <w:b/>
        </w:rPr>
        <w:t>MAC</w:t>
      </w:r>
      <w:r>
        <w:t xml:space="preserve"> (</w:t>
      </w:r>
      <w:r w:rsidRPr="00C0167E">
        <w:rPr>
          <w:b/>
        </w:rPr>
        <w:t>M</w:t>
      </w:r>
      <w:r>
        <w:t xml:space="preserve">edia </w:t>
      </w:r>
      <w:r w:rsidRPr="00C0167E">
        <w:rPr>
          <w:b/>
        </w:rPr>
        <w:t>A</w:t>
      </w:r>
      <w:r>
        <w:t xml:space="preserve">ccess </w:t>
      </w:r>
      <w:r w:rsidRPr="00C0167E">
        <w:rPr>
          <w:b/>
        </w:rPr>
        <w:t>C</w:t>
      </w:r>
      <w:r>
        <w:t>ontrol)</w:t>
      </w:r>
      <w:r w:rsidR="00512B7F">
        <w:t xml:space="preserve"> ou adresse </w:t>
      </w:r>
      <w:r w:rsidR="00512B7F" w:rsidRPr="00512B7F">
        <w:rPr>
          <w:b/>
        </w:rPr>
        <w:t>Ethernet</w:t>
      </w:r>
      <w:r>
        <w:t>.</w:t>
      </w:r>
    </w:p>
    <w:p w:rsidR="00C0167E" w:rsidRDefault="00C0167E" w:rsidP="00C0167E">
      <w:pPr>
        <w:pStyle w:val="Paragraphedeliste"/>
      </w:pPr>
    </w:p>
    <w:p w:rsidR="002D10EC" w:rsidRDefault="00C0167E" w:rsidP="002D10EC">
      <w:pPr>
        <w:pStyle w:val="Paragraphedeliste"/>
        <w:numPr>
          <w:ilvl w:val="0"/>
          <w:numId w:val="2"/>
        </w:numPr>
      </w:pPr>
      <w:r>
        <w:t xml:space="preserve">Le second identificateur, </w:t>
      </w:r>
      <w:r w:rsidRPr="00C0167E">
        <w:rPr>
          <w:b/>
        </w:rPr>
        <w:t xml:space="preserve">l’adresse </w:t>
      </w:r>
      <w:r>
        <w:rPr>
          <w:b/>
        </w:rPr>
        <w:t>logique</w:t>
      </w:r>
      <w:r>
        <w:t xml:space="preserve"> de l’hôte, est contenu dans l’en-tête de l’unité de données de protocole de la </w:t>
      </w:r>
      <w:r w:rsidRPr="00C0167E">
        <w:rPr>
          <w:b/>
        </w:rPr>
        <w:t>couche </w:t>
      </w:r>
      <w:r>
        <w:rPr>
          <w:b/>
        </w:rPr>
        <w:t>3</w:t>
      </w:r>
      <w:r w:rsidR="00C74E9B">
        <w:rPr>
          <w:b/>
        </w:rPr>
        <w:t xml:space="preserve"> </w:t>
      </w:r>
      <w:r w:rsidR="00976805">
        <w:rPr>
          <w:b/>
        </w:rPr>
        <w:t xml:space="preserve">« Réseau » </w:t>
      </w:r>
      <w:r w:rsidR="00976805" w:rsidRPr="00976805">
        <w:t>du modèle</w:t>
      </w:r>
      <w:r w:rsidR="00976805">
        <w:rPr>
          <w:b/>
        </w:rPr>
        <w:t xml:space="preserve"> OSI</w:t>
      </w:r>
      <w:r w:rsidR="00976805" w:rsidRPr="00976805">
        <w:t xml:space="preserve"> (</w:t>
      </w:r>
      <w:r w:rsidR="00976805">
        <w:t xml:space="preserve">couche </w:t>
      </w:r>
      <w:r w:rsidR="00976805" w:rsidRPr="00976805">
        <w:rPr>
          <w:b/>
        </w:rPr>
        <w:t>« </w:t>
      </w:r>
      <w:r w:rsidR="00976805">
        <w:rPr>
          <w:b/>
        </w:rPr>
        <w:t>Internet</w:t>
      </w:r>
      <w:r w:rsidR="00976805" w:rsidRPr="00976805">
        <w:rPr>
          <w:b/>
        </w:rPr>
        <w:t> »</w:t>
      </w:r>
      <w:r w:rsidR="00976805">
        <w:rPr>
          <w:b/>
        </w:rPr>
        <w:t xml:space="preserve"> </w:t>
      </w:r>
      <w:r w:rsidR="00976805" w:rsidRPr="00976805">
        <w:t>du modèle</w:t>
      </w:r>
      <w:r w:rsidR="00976805" w:rsidRPr="00976805">
        <w:rPr>
          <w:b/>
        </w:rPr>
        <w:t xml:space="preserve"> TCP/IP</w:t>
      </w:r>
      <w:r w:rsidR="00976805" w:rsidRPr="00976805">
        <w:t>)</w:t>
      </w:r>
      <w:r>
        <w:t xml:space="preserve">, appelée </w:t>
      </w:r>
      <w:r w:rsidRPr="00C0167E">
        <w:rPr>
          <w:b/>
        </w:rPr>
        <w:t>paquet</w:t>
      </w:r>
      <w:r>
        <w:t xml:space="preserve"> ou </w:t>
      </w:r>
      <w:r w:rsidRPr="00C0167E">
        <w:rPr>
          <w:b/>
        </w:rPr>
        <w:t>datagramme</w:t>
      </w:r>
      <w:r>
        <w:t xml:space="preserve">. La </w:t>
      </w:r>
      <w:r w:rsidRPr="00C0167E">
        <w:rPr>
          <w:b/>
        </w:rPr>
        <w:t>couche 3</w:t>
      </w:r>
      <w:r w:rsidR="00C74E9B">
        <w:rPr>
          <w:b/>
        </w:rPr>
        <w:t xml:space="preserve"> OSI</w:t>
      </w:r>
      <w:r>
        <w:t xml:space="preserve"> est chargée </w:t>
      </w:r>
      <w:r w:rsidR="002D10EC">
        <w:t>de</w:t>
      </w:r>
      <w:r w:rsidR="002D10EC" w:rsidRPr="002D10EC">
        <w:t xml:space="preserve"> déplacer des données depuis un réseau local vers un autre réseau local au sein d’un inter</w:t>
      </w:r>
      <w:r w:rsidR="002D10EC">
        <w:t>-</w:t>
      </w:r>
      <w:r w:rsidR="002D10EC" w:rsidRPr="002D10EC">
        <w:t>réseau.</w:t>
      </w:r>
      <w:r w:rsidR="002D10EC">
        <w:t xml:space="preserve"> </w:t>
      </w:r>
      <w:r w:rsidR="002D10EC" w:rsidRPr="002D10EC">
        <w:t xml:space="preserve">Dans la suite de protocoles </w:t>
      </w:r>
      <w:r w:rsidR="002D10EC" w:rsidRPr="002D10EC">
        <w:rPr>
          <w:b/>
        </w:rPr>
        <w:t>TCP/IP</w:t>
      </w:r>
      <w:r w:rsidR="002D10EC" w:rsidRPr="002D10EC">
        <w:t xml:space="preserve">, </w:t>
      </w:r>
      <w:r w:rsidR="002D10EC">
        <w:t xml:space="preserve">cette adresse est appelée adresse </w:t>
      </w:r>
      <w:r w:rsidR="002D10EC" w:rsidRPr="002D10EC">
        <w:rPr>
          <w:b/>
        </w:rPr>
        <w:t>IP</w:t>
      </w:r>
      <w:r w:rsidR="002D10EC">
        <w:t xml:space="preserve"> (</w:t>
      </w:r>
      <w:r w:rsidR="002D10EC" w:rsidRPr="002D10EC">
        <w:rPr>
          <w:b/>
        </w:rPr>
        <w:t>I</w:t>
      </w:r>
      <w:r w:rsidR="002D10EC">
        <w:t xml:space="preserve">nternet </w:t>
      </w:r>
      <w:r w:rsidR="002D10EC" w:rsidRPr="002D10EC">
        <w:rPr>
          <w:b/>
        </w:rPr>
        <w:t>P</w:t>
      </w:r>
      <w:r w:rsidR="002D10EC">
        <w:t>rotocol)</w:t>
      </w:r>
      <w:r w:rsidR="00512B7F">
        <w:t xml:space="preserve"> ou adresse </w:t>
      </w:r>
      <w:r w:rsidR="00512B7F">
        <w:rPr>
          <w:b/>
        </w:rPr>
        <w:t>Int</w:t>
      </w:r>
      <w:r w:rsidR="00512B7F" w:rsidRPr="00512B7F">
        <w:rPr>
          <w:b/>
        </w:rPr>
        <w:t>ernet</w:t>
      </w:r>
      <w:r w:rsidR="002D10EC">
        <w:t>.</w:t>
      </w:r>
    </w:p>
    <w:p w:rsidR="00C0167E" w:rsidRDefault="00C0167E" w:rsidP="00122DC3"/>
    <w:p w:rsidR="00FE3A6A" w:rsidRPr="00A875C7" w:rsidRDefault="00FE3A6A" w:rsidP="00FE3A6A">
      <w:pPr>
        <w:rPr>
          <w:b/>
          <w:i/>
          <w:u w:val="single"/>
        </w:rPr>
      </w:pPr>
      <w:r>
        <w:tab/>
      </w:r>
      <w:r w:rsidR="00FD18BD">
        <w:rPr>
          <w:b/>
          <w:i/>
          <w:u w:val="single"/>
        </w:rPr>
        <w:t>Adresse physique (MAC) du protocole Ethernet</w:t>
      </w:r>
      <w:r w:rsidRPr="00A875C7">
        <w:rPr>
          <w:b/>
          <w:i/>
          <w:u w:val="single"/>
        </w:rPr>
        <w:t> :</w:t>
      </w:r>
    </w:p>
    <w:p w:rsidR="00FE3A6A" w:rsidRDefault="00FE3A6A" w:rsidP="00FE3A6A"/>
    <w:p w:rsidR="008B436E" w:rsidRDefault="008B436E" w:rsidP="008B436E">
      <w:pPr>
        <w:pStyle w:val="Paragraphedeliste"/>
        <w:numPr>
          <w:ilvl w:val="0"/>
          <w:numId w:val="2"/>
        </w:numPr>
      </w:pPr>
      <w:r>
        <w:t>L</w:t>
      </w:r>
      <w:r w:rsidRPr="008B436E">
        <w:t xml:space="preserve">’adresse </w:t>
      </w:r>
      <w:r w:rsidRPr="008B436E">
        <w:rPr>
          <w:b/>
        </w:rPr>
        <w:t>MAC</w:t>
      </w:r>
      <w:r w:rsidRPr="008B436E">
        <w:t xml:space="preserve"> </w:t>
      </w:r>
      <w:r>
        <w:t xml:space="preserve">est codée sur </w:t>
      </w:r>
      <w:r w:rsidRPr="008B436E">
        <w:rPr>
          <w:b/>
        </w:rPr>
        <w:t>48 bits</w:t>
      </w:r>
      <w:r>
        <w:t xml:space="preserve"> (</w:t>
      </w:r>
      <w:r w:rsidRPr="008B436E">
        <w:rPr>
          <w:b/>
        </w:rPr>
        <w:t>6 octets</w:t>
      </w:r>
      <w:r>
        <w:t>).</w:t>
      </w:r>
    </w:p>
    <w:p w:rsidR="008B436E" w:rsidRDefault="008B436E" w:rsidP="008B436E">
      <w:pPr>
        <w:pStyle w:val="Paragraphedeliste"/>
      </w:pPr>
    </w:p>
    <w:p w:rsidR="00FD18BD" w:rsidRDefault="008B436E" w:rsidP="008B436E">
      <w:pPr>
        <w:pStyle w:val="Paragraphedeliste"/>
        <w:numPr>
          <w:ilvl w:val="0"/>
          <w:numId w:val="2"/>
        </w:numPr>
      </w:pPr>
      <w:r w:rsidRPr="008B436E">
        <w:t xml:space="preserve">La valeur de l’adresse </w:t>
      </w:r>
      <w:r w:rsidRPr="008B436E">
        <w:rPr>
          <w:b/>
        </w:rPr>
        <w:t>MAC</w:t>
      </w:r>
      <w:r w:rsidRPr="008B436E">
        <w:t xml:space="preserve"> est </w:t>
      </w:r>
      <w:r>
        <w:t xml:space="preserve">imposée par </w:t>
      </w:r>
      <w:r w:rsidRPr="008B436E">
        <w:t>l’</w:t>
      </w:r>
      <w:r w:rsidRPr="008B436E">
        <w:rPr>
          <w:b/>
        </w:rPr>
        <w:t>IEEE</w:t>
      </w:r>
      <w:r w:rsidRPr="008B436E">
        <w:t xml:space="preserve"> pour garantir l’attribution d’adresses uniques à chaque périphérique </w:t>
      </w:r>
      <w:r w:rsidRPr="008C0419">
        <w:rPr>
          <w:b/>
        </w:rPr>
        <w:t>Ethernet</w:t>
      </w:r>
      <w:r>
        <w:t xml:space="preserve"> à l’échelle mondiale. </w:t>
      </w:r>
      <w:r w:rsidRPr="008B436E">
        <w:t>L’</w:t>
      </w:r>
      <w:r w:rsidRPr="008B436E">
        <w:rPr>
          <w:b/>
        </w:rPr>
        <w:t>IEEE</w:t>
      </w:r>
      <w:r w:rsidRPr="008B436E">
        <w:t xml:space="preserve"> attribue au revendeu</w:t>
      </w:r>
      <w:r>
        <w:t xml:space="preserve">r </w:t>
      </w:r>
      <w:r w:rsidRPr="008B436E">
        <w:t xml:space="preserve">de périphérique Ethernet un code de </w:t>
      </w:r>
      <w:r w:rsidRPr="008C0419">
        <w:rPr>
          <w:b/>
        </w:rPr>
        <w:t>3 octets</w:t>
      </w:r>
      <w:r w:rsidRPr="008B436E">
        <w:t xml:space="preserve"> appelé </w:t>
      </w:r>
      <w:r w:rsidRPr="008B436E">
        <w:rPr>
          <w:b/>
        </w:rPr>
        <w:t>OUI</w:t>
      </w:r>
      <w:r w:rsidRPr="008B436E">
        <w:t xml:space="preserve"> (Organizationally Unique Identifier</w:t>
      </w:r>
      <w:r>
        <w:t xml:space="preserve"> ou </w:t>
      </w:r>
      <w:r w:rsidRPr="008B436E">
        <w:t>Id</w:t>
      </w:r>
      <w:r>
        <w:t>entifiant unique d’organisation</w:t>
      </w:r>
      <w:r w:rsidRPr="008B436E">
        <w:t>.</w:t>
      </w:r>
    </w:p>
    <w:p w:rsidR="00E728AB" w:rsidRDefault="0083366E" w:rsidP="00E728AB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752975" cy="1409700"/>
            <wp:effectExtent l="19050" t="0" r="9525" b="0"/>
            <wp:docPr id="1" name="Image 0" descr="m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BD" w:rsidRDefault="00FD18BD" w:rsidP="00FE3A6A"/>
    <w:p w:rsidR="00D87CBE" w:rsidRDefault="00D87CBE" w:rsidP="00FE3A6A"/>
    <w:p w:rsidR="00FD18BD" w:rsidRPr="00A875C7" w:rsidRDefault="00FD18BD" w:rsidP="00FD18BD">
      <w:pPr>
        <w:rPr>
          <w:b/>
          <w:i/>
          <w:u w:val="single"/>
        </w:rPr>
      </w:pPr>
      <w:r>
        <w:tab/>
      </w:r>
      <w:r>
        <w:rPr>
          <w:b/>
          <w:i/>
          <w:u w:val="single"/>
        </w:rPr>
        <w:t>Adresse logique (IP) du protocole IP</w:t>
      </w:r>
      <w:r w:rsidRPr="00A875C7">
        <w:rPr>
          <w:b/>
          <w:i/>
          <w:u w:val="single"/>
        </w:rPr>
        <w:t> :</w:t>
      </w:r>
    </w:p>
    <w:p w:rsidR="00FD18BD" w:rsidRDefault="00FD18BD" w:rsidP="00FE3A6A"/>
    <w:p w:rsidR="00B62007" w:rsidRDefault="00C74E9B" w:rsidP="00B62007">
      <w:pPr>
        <w:pStyle w:val="Paragraphedeliste"/>
        <w:numPr>
          <w:ilvl w:val="0"/>
          <w:numId w:val="2"/>
        </w:numPr>
      </w:pPr>
      <w:r w:rsidRPr="00C74E9B">
        <w:t xml:space="preserve">Tous les périphériques appartenant à un réseau doivent être </w:t>
      </w:r>
      <w:r w:rsidRPr="00F22F8F">
        <w:rPr>
          <w:b/>
        </w:rPr>
        <w:t>identifiés de manière unique</w:t>
      </w:r>
      <w:r w:rsidRPr="00C74E9B">
        <w:t xml:space="preserve">. Au niveau de la </w:t>
      </w:r>
      <w:r w:rsidRPr="00F22F8F">
        <w:rPr>
          <w:b/>
        </w:rPr>
        <w:t>couche 3</w:t>
      </w:r>
      <w:r w:rsidR="00F22F8F">
        <w:t xml:space="preserve"> </w:t>
      </w:r>
      <w:r w:rsidR="00F22F8F" w:rsidRPr="00F22F8F">
        <w:rPr>
          <w:b/>
        </w:rPr>
        <w:t>OSI</w:t>
      </w:r>
      <w:r w:rsidRPr="00C74E9B">
        <w:t xml:space="preserve">, </w:t>
      </w:r>
      <w:r>
        <w:t xml:space="preserve">chaque hôte est identifié par une adresse </w:t>
      </w:r>
      <w:r w:rsidRPr="00F22F8F">
        <w:rPr>
          <w:b/>
        </w:rPr>
        <w:t>IP</w:t>
      </w:r>
      <w:r w:rsidR="00F22F8F">
        <w:rPr>
          <w:b/>
        </w:rPr>
        <w:t xml:space="preserve"> </w:t>
      </w:r>
      <w:r w:rsidRPr="00F22F8F">
        <w:rPr>
          <w:b/>
        </w:rPr>
        <w:t>v</w:t>
      </w:r>
      <w:r w:rsidR="00F22F8F">
        <w:rPr>
          <w:b/>
        </w:rPr>
        <w:t xml:space="preserve">ersion </w:t>
      </w:r>
      <w:r w:rsidRPr="00F22F8F">
        <w:rPr>
          <w:b/>
        </w:rPr>
        <w:t>4</w:t>
      </w:r>
      <w:r>
        <w:t xml:space="preserve"> codée sur </w:t>
      </w:r>
      <w:r w:rsidRPr="00F22F8F">
        <w:rPr>
          <w:b/>
        </w:rPr>
        <w:t>32 bits</w:t>
      </w:r>
      <w:r>
        <w:t xml:space="preserve"> (</w:t>
      </w:r>
      <w:r w:rsidRPr="00F22F8F">
        <w:rPr>
          <w:b/>
        </w:rPr>
        <w:t>4 octets</w:t>
      </w:r>
      <w:r>
        <w:t>).</w:t>
      </w:r>
    </w:p>
    <w:p w:rsidR="00B62007" w:rsidRDefault="00B62007" w:rsidP="00B62007">
      <w:pPr>
        <w:ind w:left="360"/>
      </w:pPr>
    </w:p>
    <w:p w:rsidR="00B62007" w:rsidRPr="00B81A4A" w:rsidRDefault="00B81A4A" w:rsidP="00B81A4A">
      <w:pPr>
        <w:pStyle w:val="Paragraphedeliste"/>
        <w:numPr>
          <w:ilvl w:val="0"/>
          <w:numId w:val="2"/>
        </w:numPr>
        <w:rPr>
          <w:rFonts w:cs="Arial"/>
          <w:szCs w:val="20"/>
        </w:rPr>
      </w:pPr>
      <w:r w:rsidRPr="00B62007">
        <w:rPr>
          <w:rFonts w:cs="Arial"/>
          <w:szCs w:val="20"/>
        </w:rPr>
        <w:t>L’</w:t>
      </w:r>
      <w:r w:rsidRPr="00B62007">
        <w:rPr>
          <w:rFonts w:cs="Arial"/>
          <w:b/>
          <w:bCs/>
          <w:szCs w:val="20"/>
        </w:rPr>
        <w:t>adresse</w:t>
      </w:r>
      <w:r w:rsidRPr="00B62007">
        <w:rPr>
          <w:rFonts w:cs="Arial"/>
          <w:szCs w:val="20"/>
        </w:rPr>
        <w:t xml:space="preserve"> de chaque ordinateur se compose donc d’une partie </w:t>
      </w:r>
      <w:r w:rsidRPr="00B62007">
        <w:rPr>
          <w:rFonts w:cs="Arial"/>
          <w:b/>
          <w:bCs/>
          <w:szCs w:val="20"/>
        </w:rPr>
        <w:t>réseau</w:t>
      </w:r>
      <w:r w:rsidRPr="00B62007">
        <w:rPr>
          <w:rFonts w:cs="Arial"/>
          <w:szCs w:val="20"/>
        </w:rPr>
        <w:t xml:space="preserve"> </w:t>
      </w:r>
      <w:r w:rsidRPr="00B81A4A">
        <w:rPr>
          <w:rFonts w:cs="Arial"/>
          <w:szCs w:val="20"/>
        </w:rPr>
        <w:t>(</w:t>
      </w:r>
      <w:r w:rsidRPr="00B62007">
        <w:rPr>
          <w:rFonts w:cs="Arial"/>
          <w:b/>
          <w:bCs/>
          <w:szCs w:val="20"/>
        </w:rPr>
        <w:t xml:space="preserve">bits situés à </w:t>
      </w:r>
      <w:r>
        <w:rPr>
          <w:rFonts w:cs="Arial"/>
          <w:b/>
          <w:bCs/>
          <w:szCs w:val="20"/>
        </w:rPr>
        <w:t>gauche</w:t>
      </w:r>
      <w:r w:rsidRPr="00B81A4A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B62007">
        <w:rPr>
          <w:rFonts w:cs="Arial"/>
          <w:szCs w:val="20"/>
        </w:rPr>
        <w:t>et</w:t>
      </w:r>
      <w:r>
        <w:rPr>
          <w:rFonts w:cs="Arial"/>
          <w:szCs w:val="20"/>
        </w:rPr>
        <w:t xml:space="preserve"> </w:t>
      </w:r>
      <w:r w:rsidRPr="00B81A4A">
        <w:rPr>
          <w:rFonts w:cs="Arial"/>
          <w:szCs w:val="20"/>
        </w:rPr>
        <w:t xml:space="preserve">d’une partie </w:t>
      </w:r>
      <w:r w:rsidRPr="00B81A4A">
        <w:rPr>
          <w:rFonts w:cs="Arial"/>
          <w:b/>
          <w:bCs/>
          <w:szCs w:val="20"/>
        </w:rPr>
        <w:t>hôte</w:t>
      </w:r>
      <w:r w:rsidRPr="00B81A4A">
        <w:rPr>
          <w:rFonts w:cs="Arial"/>
          <w:bCs/>
          <w:szCs w:val="20"/>
        </w:rPr>
        <w:t xml:space="preserve"> </w:t>
      </w:r>
      <w:r w:rsidRPr="00B81A4A">
        <w:rPr>
          <w:rFonts w:cs="Arial"/>
          <w:szCs w:val="20"/>
        </w:rPr>
        <w:t>(</w:t>
      </w:r>
      <w:r w:rsidRPr="00B81A4A">
        <w:rPr>
          <w:rFonts w:cs="Arial"/>
          <w:b/>
          <w:bCs/>
          <w:szCs w:val="20"/>
        </w:rPr>
        <w:t>bits situés à droite</w:t>
      </w:r>
      <w:r w:rsidRPr="00B81A4A">
        <w:rPr>
          <w:rFonts w:cs="Arial"/>
          <w:szCs w:val="20"/>
        </w:rPr>
        <w:t xml:space="preserve">). </w:t>
      </w:r>
    </w:p>
    <w:p w:rsidR="00B62007" w:rsidRDefault="0056412F" w:rsidP="00B81A4A">
      <w:pPr>
        <w:pStyle w:val="NormalWeb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52975" cy="1695450"/>
            <wp:effectExtent l="19050" t="0" r="9525" b="0"/>
            <wp:docPr id="3" name="Image 2" descr="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CBE" w:rsidRPr="00B62007" w:rsidRDefault="00D87CBE" w:rsidP="00D87CBE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:rsidR="00B62007" w:rsidRPr="00B62007" w:rsidRDefault="00B62007" w:rsidP="000F2209">
      <w:pPr>
        <w:pStyle w:val="NormalWeb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62007">
        <w:rPr>
          <w:rFonts w:ascii="Arial" w:hAnsi="Arial" w:cs="Arial"/>
          <w:sz w:val="20"/>
          <w:szCs w:val="20"/>
        </w:rPr>
        <w:t xml:space="preserve">Pour définir la </w:t>
      </w:r>
      <w:r w:rsidRPr="00B62007">
        <w:rPr>
          <w:rFonts w:ascii="Arial" w:hAnsi="Arial" w:cs="Arial"/>
          <w:b/>
          <w:bCs/>
          <w:sz w:val="20"/>
          <w:szCs w:val="20"/>
        </w:rPr>
        <w:t>décomposition de l’adresse</w:t>
      </w:r>
      <w:r w:rsidRPr="00B62007">
        <w:rPr>
          <w:rFonts w:ascii="Arial" w:hAnsi="Arial" w:cs="Arial"/>
          <w:sz w:val="20"/>
          <w:szCs w:val="20"/>
        </w:rPr>
        <w:t xml:space="preserve"> à 32 bits d’un </w:t>
      </w:r>
      <w:r w:rsidR="004A7DBE">
        <w:rPr>
          <w:rFonts w:ascii="Arial" w:hAnsi="Arial" w:cs="Arial"/>
          <w:sz w:val="20"/>
          <w:szCs w:val="20"/>
        </w:rPr>
        <w:t>hôte</w:t>
      </w:r>
      <w:r w:rsidRPr="00B62007">
        <w:rPr>
          <w:rFonts w:ascii="Arial" w:hAnsi="Arial" w:cs="Arial"/>
          <w:sz w:val="20"/>
          <w:szCs w:val="20"/>
        </w:rPr>
        <w:t xml:space="preserve">, un second numéro de 32 bits, appelé </w:t>
      </w:r>
      <w:r w:rsidRPr="00B62007">
        <w:rPr>
          <w:rFonts w:ascii="Arial" w:hAnsi="Arial" w:cs="Arial"/>
          <w:b/>
          <w:bCs/>
          <w:sz w:val="20"/>
          <w:szCs w:val="20"/>
        </w:rPr>
        <w:t>masque de réseau</w:t>
      </w:r>
      <w:r w:rsidRPr="00B62007">
        <w:rPr>
          <w:rFonts w:ascii="Arial" w:hAnsi="Arial" w:cs="Arial"/>
          <w:sz w:val="20"/>
          <w:szCs w:val="20"/>
        </w:rPr>
        <w:t>, est utilisé. Il indique combien de bits sont réservés à l’identification du réseau</w:t>
      </w:r>
      <w:r w:rsidR="004A7DBE">
        <w:rPr>
          <w:rFonts w:ascii="Arial" w:hAnsi="Arial" w:cs="Arial"/>
          <w:sz w:val="20"/>
          <w:szCs w:val="20"/>
        </w:rPr>
        <w:t xml:space="preserve"> (bits à 1)</w:t>
      </w:r>
      <w:r w:rsidRPr="00B62007">
        <w:rPr>
          <w:rFonts w:ascii="Arial" w:hAnsi="Arial" w:cs="Arial"/>
          <w:sz w:val="20"/>
          <w:szCs w:val="20"/>
        </w:rPr>
        <w:t xml:space="preserve"> dont fait partie l’</w:t>
      </w:r>
      <w:r w:rsidR="003F074B">
        <w:rPr>
          <w:rFonts w:ascii="Arial" w:hAnsi="Arial" w:cs="Arial"/>
          <w:sz w:val="20"/>
          <w:szCs w:val="20"/>
        </w:rPr>
        <w:t>hôte</w:t>
      </w:r>
      <w:r w:rsidRPr="00B62007">
        <w:rPr>
          <w:rFonts w:ascii="Arial" w:hAnsi="Arial" w:cs="Arial"/>
          <w:sz w:val="20"/>
          <w:szCs w:val="20"/>
        </w:rPr>
        <w:t>.</w:t>
      </w:r>
    </w:p>
    <w:p w:rsidR="00B62007" w:rsidRDefault="00B62007" w:rsidP="00B62007">
      <w:pPr>
        <w:rPr>
          <w:rFonts w:cs="Arial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0F2209" w:rsidTr="000F2209">
        <w:tc>
          <w:tcPr>
            <w:tcW w:w="1955" w:type="dxa"/>
            <w:vMerge w:val="restart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Adresse IP</w:t>
            </w:r>
          </w:p>
        </w:tc>
        <w:tc>
          <w:tcPr>
            <w:tcW w:w="1955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172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114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250</w:t>
            </w:r>
          </w:p>
        </w:tc>
      </w:tr>
      <w:tr w:rsidR="000F2209" w:rsidTr="000F2209">
        <w:tc>
          <w:tcPr>
            <w:tcW w:w="1955" w:type="dxa"/>
            <w:vMerge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55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1010 1100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0001 1001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0111 0010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1111 1010</w:t>
            </w:r>
          </w:p>
        </w:tc>
      </w:tr>
      <w:tr w:rsidR="000F2209" w:rsidTr="000F2209">
        <w:tc>
          <w:tcPr>
            <w:tcW w:w="1955" w:type="dxa"/>
            <w:vMerge w:val="restart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Masque Réseau</w:t>
            </w:r>
          </w:p>
        </w:tc>
        <w:tc>
          <w:tcPr>
            <w:tcW w:w="1955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1111 1111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1111 1111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0000 0000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0000 0000</w:t>
            </w:r>
          </w:p>
        </w:tc>
      </w:tr>
      <w:tr w:rsidR="000F2209" w:rsidTr="000F2209">
        <w:tc>
          <w:tcPr>
            <w:tcW w:w="1955" w:type="dxa"/>
            <w:vMerge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55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255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255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956" w:type="dxa"/>
          </w:tcPr>
          <w:p w:rsidR="000F2209" w:rsidRPr="007A1361" w:rsidRDefault="000F2209" w:rsidP="007A1361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</w:t>
            </w:r>
          </w:p>
        </w:tc>
      </w:tr>
    </w:tbl>
    <w:p w:rsidR="004A7DBE" w:rsidRDefault="004A7DBE" w:rsidP="00B62007">
      <w:pPr>
        <w:rPr>
          <w:rFonts w:cs="Arial"/>
          <w:szCs w:val="20"/>
        </w:rPr>
      </w:pPr>
    </w:p>
    <w:p w:rsidR="00D87CBE" w:rsidRDefault="00D87CBE" w:rsidP="00B62007">
      <w:pPr>
        <w:rPr>
          <w:rFonts w:cs="Arial"/>
          <w:szCs w:val="20"/>
        </w:rPr>
      </w:pPr>
    </w:p>
    <w:p w:rsidR="004A0D60" w:rsidRPr="004A0D60" w:rsidRDefault="004A0D60" w:rsidP="004A0D60">
      <w:pPr>
        <w:pStyle w:val="Paragraphedeliste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Pour déterminer l’</w:t>
      </w:r>
      <w:r w:rsidRPr="004A0D60">
        <w:rPr>
          <w:rFonts w:cs="Arial"/>
          <w:b/>
          <w:szCs w:val="20"/>
        </w:rPr>
        <w:t xml:space="preserve">adresse du réseau </w:t>
      </w:r>
      <w:r>
        <w:rPr>
          <w:rFonts w:cs="Arial"/>
          <w:szCs w:val="20"/>
        </w:rPr>
        <w:t xml:space="preserve">il suffit de réaliser une opération de </w:t>
      </w:r>
      <w:r w:rsidRPr="004A0D60">
        <w:rPr>
          <w:rFonts w:cs="Arial"/>
          <w:b/>
          <w:szCs w:val="20"/>
        </w:rPr>
        <w:t>ET logique</w:t>
      </w:r>
      <w:r>
        <w:rPr>
          <w:rFonts w:cs="Arial"/>
          <w:szCs w:val="20"/>
        </w:rPr>
        <w:t xml:space="preserve"> entre l’adresse IP et le masque de réseau.</w:t>
      </w:r>
    </w:p>
    <w:p w:rsidR="007A1361" w:rsidRDefault="007A1361" w:rsidP="007A1361">
      <w:pPr>
        <w:rPr>
          <w:rFonts w:cs="Arial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A1361" w:rsidTr="003E202D">
        <w:tc>
          <w:tcPr>
            <w:tcW w:w="1955" w:type="dxa"/>
            <w:vMerge w:val="restart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Adresse IP</w:t>
            </w:r>
          </w:p>
        </w:tc>
        <w:tc>
          <w:tcPr>
            <w:tcW w:w="1955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172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114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250</w:t>
            </w:r>
          </w:p>
        </w:tc>
      </w:tr>
      <w:tr w:rsidR="007A1361" w:rsidTr="003E202D">
        <w:tc>
          <w:tcPr>
            <w:tcW w:w="1955" w:type="dxa"/>
            <w:vMerge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55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1010 1100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0001 1001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0111 0010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1111 1010</w:t>
            </w:r>
          </w:p>
        </w:tc>
      </w:tr>
      <w:tr w:rsidR="007A1361" w:rsidTr="003E202D">
        <w:tc>
          <w:tcPr>
            <w:tcW w:w="1955" w:type="dxa"/>
            <w:vMerge w:val="restart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Masque Réseau</w:t>
            </w:r>
          </w:p>
        </w:tc>
        <w:tc>
          <w:tcPr>
            <w:tcW w:w="1955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1111 1111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1111 1111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0000 0000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0000 0000</w:t>
            </w:r>
          </w:p>
        </w:tc>
      </w:tr>
      <w:tr w:rsidR="007A1361" w:rsidTr="003E202D">
        <w:tc>
          <w:tcPr>
            <w:tcW w:w="1955" w:type="dxa"/>
            <w:vMerge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55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255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255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</w:t>
            </w:r>
          </w:p>
        </w:tc>
      </w:tr>
      <w:tr w:rsidR="007A1361" w:rsidTr="003E202D">
        <w:tc>
          <w:tcPr>
            <w:tcW w:w="1955" w:type="dxa"/>
            <w:vMerge w:val="restart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Adresse Réseau</w:t>
            </w:r>
          </w:p>
        </w:tc>
        <w:tc>
          <w:tcPr>
            <w:tcW w:w="1955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1010 1100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0001 1001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0000 0000</w:t>
            </w:r>
          </w:p>
        </w:tc>
        <w:tc>
          <w:tcPr>
            <w:tcW w:w="1956" w:type="dxa"/>
          </w:tcPr>
          <w:p w:rsidR="007A1361" w:rsidRPr="007A1361" w:rsidRDefault="007A1361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0000 0000</w:t>
            </w:r>
          </w:p>
        </w:tc>
      </w:tr>
      <w:tr w:rsidR="00D87CBE" w:rsidTr="003E202D">
        <w:tc>
          <w:tcPr>
            <w:tcW w:w="1955" w:type="dxa"/>
            <w:vMerge/>
          </w:tcPr>
          <w:p w:rsidR="00D87CBE" w:rsidRPr="007A1361" w:rsidRDefault="00D87CBE" w:rsidP="003E202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55" w:type="dxa"/>
          </w:tcPr>
          <w:p w:rsidR="00D87CBE" w:rsidRPr="007A1361" w:rsidRDefault="00D87CBE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172</w:t>
            </w:r>
          </w:p>
        </w:tc>
        <w:tc>
          <w:tcPr>
            <w:tcW w:w="1956" w:type="dxa"/>
          </w:tcPr>
          <w:p w:rsidR="00D87CBE" w:rsidRPr="007A1361" w:rsidRDefault="00D87CBE" w:rsidP="003E202D">
            <w:pPr>
              <w:jc w:val="center"/>
              <w:rPr>
                <w:rFonts w:cs="Arial"/>
                <w:b/>
                <w:szCs w:val="20"/>
              </w:rPr>
            </w:pPr>
            <w:r w:rsidRPr="007A1361">
              <w:rPr>
                <w:rFonts w:cs="Arial"/>
                <w:b/>
                <w:szCs w:val="20"/>
              </w:rPr>
              <w:t>25</w:t>
            </w:r>
          </w:p>
        </w:tc>
        <w:tc>
          <w:tcPr>
            <w:tcW w:w="1956" w:type="dxa"/>
          </w:tcPr>
          <w:p w:rsidR="00D87CBE" w:rsidRPr="007A1361" w:rsidRDefault="00D87CBE" w:rsidP="003E202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956" w:type="dxa"/>
          </w:tcPr>
          <w:p w:rsidR="00D87CBE" w:rsidRPr="007A1361" w:rsidRDefault="00D87CBE" w:rsidP="003E202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</w:p>
        </w:tc>
      </w:tr>
    </w:tbl>
    <w:p w:rsidR="007A1361" w:rsidRDefault="007A1361" w:rsidP="007A1361">
      <w:pPr>
        <w:rPr>
          <w:rFonts w:cs="Arial"/>
          <w:szCs w:val="20"/>
        </w:rPr>
      </w:pPr>
    </w:p>
    <w:p w:rsidR="007A1361" w:rsidRDefault="007A1361" w:rsidP="00B62007">
      <w:pPr>
        <w:rPr>
          <w:rFonts w:cs="Arial"/>
          <w:szCs w:val="20"/>
        </w:rPr>
      </w:pPr>
    </w:p>
    <w:p w:rsidR="00D87CBE" w:rsidRDefault="00D87CBE">
      <w:pPr>
        <w:rPr>
          <w:rFonts w:cs="Arial"/>
          <w:noProof/>
          <w:szCs w:val="20"/>
          <w:lang w:eastAsia="fr-FR"/>
        </w:rPr>
      </w:pPr>
      <w:r>
        <w:rPr>
          <w:rFonts w:cs="Arial"/>
          <w:noProof/>
          <w:szCs w:val="20"/>
          <w:lang w:eastAsia="fr-FR"/>
        </w:rPr>
        <w:br w:type="page"/>
      </w:r>
    </w:p>
    <w:p w:rsidR="00C74E9B" w:rsidRPr="00B62007" w:rsidRDefault="00C74E9B" w:rsidP="00C74E9B">
      <w:pPr>
        <w:pStyle w:val="Paragraphedeliste"/>
        <w:rPr>
          <w:rFonts w:cs="Arial"/>
          <w:szCs w:val="20"/>
        </w:rPr>
      </w:pPr>
    </w:p>
    <w:p w:rsidR="00FD18BD" w:rsidRPr="00A875C7" w:rsidRDefault="00FD18BD" w:rsidP="00FD18BD">
      <w:pPr>
        <w:rPr>
          <w:b/>
          <w:i/>
          <w:u w:val="single"/>
        </w:rPr>
      </w:pPr>
      <w:r>
        <w:tab/>
      </w:r>
      <w:r>
        <w:rPr>
          <w:b/>
          <w:i/>
          <w:u w:val="single"/>
        </w:rPr>
        <w:t>Lien entre adresse MAC et IP - Protocole ARP</w:t>
      </w:r>
      <w:r w:rsidRPr="00A875C7">
        <w:rPr>
          <w:b/>
          <w:i/>
          <w:u w:val="single"/>
        </w:rPr>
        <w:t> :</w:t>
      </w:r>
    </w:p>
    <w:p w:rsidR="00FD18BD" w:rsidRDefault="00FD18BD" w:rsidP="00FE3A6A"/>
    <w:p w:rsidR="00087247" w:rsidRDefault="00087247" w:rsidP="00B0095C">
      <w:pPr>
        <w:pStyle w:val="Paragraphedeliste"/>
        <w:numPr>
          <w:ilvl w:val="0"/>
          <w:numId w:val="2"/>
        </w:numPr>
      </w:pPr>
      <w:r w:rsidRPr="00087247">
        <w:t xml:space="preserve">À chaque trame placée sur un support </w:t>
      </w:r>
      <w:r>
        <w:t>réseau</w:t>
      </w:r>
      <w:r w:rsidRPr="00087247">
        <w:t xml:space="preserve"> doit correspondre une </w:t>
      </w:r>
      <w:r w:rsidRPr="00087247">
        <w:rPr>
          <w:b/>
        </w:rPr>
        <w:t>adresse MAC</w:t>
      </w:r>
      <w:r w:rsidRPr="00087247">
        <w:t xml:space="preserve"> de destination</w:t>
      </w:r>
      <w:r>
        <w:t xml:space="preserve"> </w:t>
      </w:r>
      <w:r w:rsidRPr="00087247">
        <w:t xml:space="preserve">associée à une </w:t>
      </w:r>
      <w:r w:rsidRPr="00087247">
        <w:rPr>
          <w:b/>
        </w:rPr>
        <w:t>adresse IPv4 de destination</w:t>
      </w:r>
      <w:r w:rsidRPr="00087247">
        <w:t>.</w:t>
      </w:r>
      <w:r>
        <w:t xml:space="preserve"> Le rôle du protocole </w:t>
      </w:r>
      <w:r w:rsidRPr="00087247">
        <w:rPr>
          <w:b/>
        </w:rPr>
        <w:t>ARP</w:t>
      </w:r>
      <w:r>
        <w:t xml:space="preserve"> (</w:t>
      </w:r>
      <w:r w:rsidR="006A37D5" w:rsidRPr="006A37D5">
        <w:rPr>
          <w:b/>
        </w:rPr>
        <w:t>A</w:t>
      </w:r>
      <w:r w:rsidR="006A37D5">
        <w:t xml:space="preserve">ddress </w:t>
      </w:r>
      <w:r w:rsidR="006A37D5" w:rsidRPr="006A37D5">
        <w:rPr>
          <w:b/>
        </w:rPr>
        <w:t>R</w:t>
      </w:r>
      <w:r w:rsidR="006A37D5">
        <w:t xml:space="preserve">esolution </w:t>
      </w:r>
      <w:r w:rsidR="006A37D5" w:rsidRPr="006A37D5">
        <w:rPr>
          <w:b/>
        </w:rPr>
        <w:t>P</w:t>
      </w:r>
      <w:r w:rsidR="006A37D5">
        <w:t>rotocol</w:t>
      </w:r>
      <w:r>
        <w:t>) est d’assurer cette résolution.</w:t>
      </w:r>
    </w:p>
    <w:p w:rsidR="00087247" w:rsidRDefault="00087247" w:rsidP="00087247">
      <w:pPr>
        <w:pStyle w:val="Paragraphedeliste"/>
      </w:pPr>
    </w:p>
    <w:p w:rsidR="00691755" w:rsidRDefault="00B0095C" w:rsidP="00691755">
      <w:pPr>
        <w:pStyle w:val="Paragraphedeliste"/>
        <w:numPr>
          <w:ilvl w:val="0"/>
          <w:numId w:val="2"/>
        </w:numPr>
      </w:pPr>
      <w:r>
        <w:t xml:space="preserve">Le protocole </w:t>
      </w:r>
      <w:r w:rsidRPr="006A37D5">
        <w:rPr>
          <w:b/>
        </w:rPr>
        <w:t>ARP</w:t>
      </w:r>
      <w:r>
        <w:t xml:space="preserve"> assure deux fonctions de base : </w:t>
      </w:r>
    </w:p>
    <w:p w:rsidR="00691755" w:rsidRDefault="00691755" w:rsidP="00691755"/>
    <w:p w:rsidR="00691755" w:rsidRDefault="00B0095C" w:rsidP="00691755">
      <w:pPr>
        <w:pStyle w:val="Paragraphedeliste"/>
        <w:numPr>
          <w:ilvl w:val="1"/>
          <w:numId w:val="2"/>
        </w:numPr>
      </w:pPr>
      <w:r>
        <w:t xml:space="preserve">la résolution des adresses </w:t>
      </w:r>
      <w:r w:rsidRPr="004254C1">
        <w:rPr>
          <w:b/>
        </w:rPr>
        <w:t>IPv4</w:t>
      </w:r>
      <w:r>
        <w:t xml:space="preserve"> en adresses </w:t>
      </w:r>
      <w:r w:rsidRPr="004254C1">
        <w:rPr>
          <w:b/>
        </w:rPr>
        <w:t>MAC</w:t>
      </w:r>
      <w:r>
        <w:t>,</w:t>
      </w:r>
    </w:p>
    <w:p w:rsidR="00691755" w:rsidRDefault="00691755" w:rsidP="00691755"/>
    <w:p w:rsidR="00E07143" w:rsidRDefault="00B0095C" w:rsidP="00B0095C">
      <w:pPr>
        <w:pStyle w:val="Paragraphedeliste"/>
        <w:numPr>
          <w:ilvl w:val="1"/>
          <w:numId w:val="2"/>
        </w:numPr>
      </w:pPr>
      <w:r>
        <w:t>la conservation en mémoire cache des mappages</w:t>
      </w:r>
      <w:r w:rsidR="004254C1">
        <w:t xml:space="preserve"> : </w:t>
      </w:r>
      <w:r w:rsidR="004254C1" w:rsidRPr="006A37D5">
        <w:rPr>
          <w:b/>
        </w:rPr>
        <w:t>table</w:t>
      </w:r>
      <w:r w:rsidR="004254C1">
        <w:t xml:space="preserve"> ou </w:t>
      </w:r>
      <w:r w:rsidR="004254C1" w:rsidRPr="006A37D5">
        <w:rPr>
          <w:b/>
        </w:rPr>
        <w:t>cache ARP</w:t>
      </w:r>
      <w:r>
        <w:t>.</w:t>
      </w:r>
    </w:p>
    <w:p w:rsidR="00FE3A6A" w:rsidRDefault="00FE3A6A" w:rsidP="008C3D7F"/>
    <w:p w:rsidR="00761A98" w:rsidRDefault="00761A98" w:rsidP="00761A9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93402" cy="102298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632" cy="102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98" w:rsidRDefault="00761A98" w:rsidP="008C3D7F"/>
    <w:p w:rsidR="004E5FB4" w:rsidRDefault="003451E1" w:rsidP="00087247">
      <w:pPr>
        <w:pStyle w:val="Paragraphedeliste"/>
        <w:numPr>
          <w:ilvl w:val="0"/>
          <w:numId w:val="2"/>
        </w:numPr>
      </w:pPr>
      <w:r>
        <w:t>Un hôte</w:t>
      </w:r>
      <w:r w:rsidR="00087247" w:rsidRPr="00087247">
        <w:t xml:space="preserve"> émetteur tente de trouver l’</w:t>
      </w:r>
      <w:r w:rsidR="00087247" w:rsidRPr="00813A15">
        <w:rPr>
          <w:b/>
        </w:rPr>
        <w:t xml:space="preserve">adresse MAC </w:t>
      </w:r>
      <w:r w:rsidR="00087247" w:rsidRPr="00087247">
        <w:t xml:space="preserve">associée à une </w:t>
      </w:r>
      <w:r w:rsidR="00087247" w:rsidRPr="00813A15">
        <w:rPr>
          <w:b/>
        </w:rPr>
        <w:t>adresse IPv4</w:t>
      </w:r>
      <w:r w:rsidR="00087247" w:rsidRPr="00087247">
        <w:t xml:space="preserve"> de </w:t>
      </w:r>
      <w:r w:rsidR="004E5FB4">
        <w:t xml:space="preserve">destination, dans la </w:t>
      </w:r>
      <w:r w:rsidR="004E5FB4" w:rsidRPr="00813A15">
        <w:rPr>
          <w:b/>
        </w:rPr>
        <w:t>table</w:t>
      </w:r>
      <w:r w:rsidR="004E5FB4">
        <w:t xml:space="preserve"> ou </w:t>
      </w:r>
      <w:r w:rsidR="004E5FB4" w:rsidRPr="00813A15">
        <w:rPr>
          <w:b/>
        </w:rPr>
        <w:t>cache ARP</w:t>
      </w:r>
      <w:r w:rsidR="00813A15">
        <w:t> :</w:t>
      </w:r>
    </w:p>
    <w:p w:rsidR="00691755" w:rsidRDefault="00691755" w:rsidP="00691755">
      <w:pPr>
        <w:ind w:left="360"/>
      </w:pPr>
    </w:p>
    <w:p w:rsidR="004E5FB4" w:rsidRDefault="00087247" w:rsidP="004E5FB4">
      <w:pPr>
        <w:pStyle w:val="Paragraphedeliste"/>
        <w:numPr>
          <w:ilvl w:val="1"/>
          <w:numId w:val="2"/>
        </w:numPr>
      </w:pPr>
      <w:r w:rsidRPr="00087247">
        <w:t xml:space="preserve">Si ce </w:t>
      </w:r>
      <w:r w:rsidRPr="00813A15">
        <w:t>mappage</w:t>
      </w:r>
      <w:r w:rsidRPr="00087247">
        <w:t xml:space="preserve"> est </w:t>
      </w:r>
      <w:r w:rsidR="004E5FB4">
        <w:t xml:space="preserve">disponible </w:t>
      </w:r>
      <w:r w:rsidRPr="00087247">
        <w:t xml:space="preserve">dans la </w:t>
      </w:r>
      <w:r w:rsidR="004E5FB4" w:rsidRPr="00087247">
        <w:t xml:space="preserve">table </w:t>
      </w:r>
      <w:r w:rsidR="004E5FB4">
        <w:t xml:space="preserve">ou </w:t>
      </w:r>
      <w:r w:rsidRPr="00087247">
        <w:t>cache</w:t>
      </w:r>
      <w:r w:rsidR="004E5FB4">
        <w:t xml:space="preserve"> ARP</w:t>
      </w:r>
      <w:r w:rsidRPr="00087247">
        <w:t>, l</w:t>
      </w:r>
      <w:r w:rsidR="004E5FB4">
        <w:t>’hôte utilise les informations de la table.</w:t>
      </w:r>
    </w:p>
    <w:p w:rsidR="00691755" w:rsidRDefault="00691755" w:rsidP="00691755"/>
    <w:p w:rsidR="00087247" w:rsidRDefault="004E5FB4" w:rsidP="004E5FB4">
      <w:pPr>
        <w:pStyle w:val="Paragraphedeliste"/>
        <w:numPr>
          <w:ilvl w:val="1"/>
          <w:numId w:val="2"/>
        </w:numPr>
      </w:pPr>
      <w:r>
        <w:t xml:space="preserve">Si ce mappage n’est pas disponible, </w:t>
      </w:r>
      <w:r w:rsidRPr="00087247">
        <w:t>l</w:t>
      </w:r>
      <w:r>
        <w:t>’hôte</w:t>
      </w:r>
      <w:r w:rsidR="00691755">
        <w:t xml:space="preserve"> </w:t>
      </w:r>
      <w:r w:rsidR="00691755" w:rsidRPr="00087247">
        <w:t xml:space="preserve">envoie un message à tous les périphériques du </w:t>
      </w:r>
      <w:r w:rsidR="00691755">
        <w:t>réseau</w:t>
      </w:r>
      <w:r w:rsidR="00691755" w:rsidRPr="00087247">
        <w:t xml:space="preserve"> Ethernet</w:t>
      </w:r>
      <w:r w:rsidR="00691755">
        <w:t xml:space="preserve"> et attend une réponse de l’hôte concerné.</w:t>
      </w:r>
      <w:r>
        <w:t xml:space="preserve"> </w:t>
      </w:r>
      <w:r w:rsidR="00087247" w:rsidRPr="00087247">
        <w:t xml:space="preserve">Cette réponse permet de créer une nouvelle entrée dans la </w:t>
      </w:r>
      <w:r w:rsidR="00087247" w:rsidRPr="00813A15">
        <w:rPr>
          <w:b/>
        </w:rPr>
        <w:t>table ARP</w:t>
      </w:r>
      <w:r w:rsidR="00087247" w:rsidRPr="00087247">
        <w:t>.</w:t>
      </w:r>
    </w:p>
    <w:p w:rsidR="00911CFE" w:rsidRDefault="00911CFE" w:rsidP="00911CFE"/>
    <w:p w:rsidR="00761A98" w:rsidRDefault="00761A98" w:rsidP="00911CFE"/>
    <w:p w:rsidR="00911CFE" w:rsidRPr="00212A2D" w:rsidRDefault="00911CFE" w:rsidP="00911CFE">
      <w:pPr>
        <w:rPr>
          <w:b/>
          <w:u w:val="single"/>
        </w:rPr>
      </w:pPr>
      <w:r w:rsidRPr="00212A2D">
        <w:rPr>
          <w:b/>
          <w:u w:val="single"/>
        </w:rPr>
        <w:t>Ce que l’on attend de l’élève :</w:t>
      </w:r>
    </w:p>
    <w:p w:rsidR="00911CFE" w:rsidRDefault="00911CFE" w:rsidP="00911CFE"/>
    <w:p w:rsidR="00F057E3" w:rsidRDefault="007D35E1" w:rsidP="00691755">
      <w:pPr>
        <w:pStyle w:val="Paragraphedeliste"/>
        <w:numPr>
          <w:ilvl w:val="0"/>
          <w:numId w:val="2"/>
        </w:numPr>
      </w:pPr>
      <w:r>
        <w:t>Relever l’</w:t>
      </w:r>
      <w:r w:rsidRPr="00691755">
        <w:rPr>
          <w:b/>
        </w:rPr>
        <w:t xml:space="preserve">adresse MAC </w:t>
      </w:r>
      <w:r>
        <w:t>d’un</w:t>
      </w:r>
      <w:r w:rsidR="00691755">
        <w:t xml:space="preserve"> équipement réseau sur </w:t>
      </w:r>
      <w:r w:rsidR="00D81DEC">
        <w:t>s</w:t>
      </w:r>
      <w:r w:rsidR="00691755">
        <w:t>a fiche signalétique.</w:t>
      </w:r>
    </w:p>
    <w:p w:rsidR="00691755" w:rsidRDefault="00691755" w:rsidP="00691755">
      <w:pPr>
        <w:ind w:left="360"/>
      </w:pPr>
    </w:p>
    <w:p w:rsidR="00691755" w:rsidRDefault="00691755" w:rsidP="00691755">
      <w:pPr>
        <w:pStyle w:val="Paragraphedeliste"/>
        <w:numPr>
          <w:ilvl w:val="0"/>
          <w:numId w:val="2"/>
        </w:numPr>
      </w:pPr>
      <w:r>
        <w:t>Relever l’</w:t>
      </w:r>
      <w:r w:rsidRPr="007D35E1">
        <w:rPr>
          <w:b/>
        </w:rPr>
        <w:t xml:space="preserve">adresse MAC </w:t>
      </w:r>
      <w:r>
        <w:t xml:space="preserve">d’un poste de travail et identifier la partie </w:t>
      </w:r>
      <w:r w:rsidRPr="007D35E1">
        <w:rPr>
          <w:b/>
        </w:rPr>
        <w:t>OUI</w:t>
      </w:r>
      <w:r>
        <w:t xml:space="preserve"> de celle-ci. On utilisera la commande </w:t>
      </w:r>
      <w:r w:rsidRPr="007D35E1">
        <w:rPr>
          <w:b/>
        </w:rPr>
        <w:t>ipconfig</w:t>
      </w:r>
      <w:r>
        <w:t xml:space="preserve"> sous </w:t>
      </w:r>
      <w:r w:rsidRPr="007D35E1">
        <w:rPr>
          <w:b/>
        </w:rPr>
        <w:t>Windows</w:t>
      </w:r>
      <w:r>
        <w:t xml:space="preserve"> ou </w:t>
      </w:r>
      <w:r w:rsidRPr="007D35E1">
        <w:rPr>
          <w:b/>
        </w:rPr>
        <w:t>ifconfig</w:t>
      </w:r>
      <w:r>
        <w:t xml:space="preserve"> sous </w:t>
      </w:r>
      <w:r w:rsidRPr="007D35E1">
        <w:rPr>
          <w:b/>
        </w:rPr>
        <w:t>Linux</w:t>
      </w:r>
      <w:r>
        <w:t>.</w:t>
      </w:r>
    </w:p>
    <w:p w:rsidR="00691755" w:rsidRDefault="00691755" w:rsidP="00691755"/>
    <w:p w:rsidR="00F057E3" w:rsidRDefault="00F057E3" w:rsidP="00F057E3">
      <w:pPr>
        <w:pStyle w:val="Paragraphedeliste"/>
        <w:numPr>
          <w:ilvl w:val="0"/>
          <w:numId w:val="2"/>
        </w:numPr>
      </w:pPr>
      <w:r>
        <w:t>Relever l’</w:t>
      </w:r>
      <w:r w:rsidRPr="007D35E1">
        <w:rPr>
          <w:b/>
        </w:rPr>
        <w:t xml:space="preserve">adresse </w:t>
      </w:r>
      <w:r w:rsidRPr="00F057E3">
        <w:rPr>
          <w:b/>
        </w:rPr>
        <w:t>IP</w:t>
      </w:r>
      <w:r w:rsidRPr="00F057E3">
        <w:t xml:space="preserve"> ainsi que le</w:t>
      </w:r>
      <w:r>
        <w:rPr>
          <w:b/>
        </w:rPr>
        <w:t xml:space="preserve"> masque </w:t>
      </w:r>
      <w:r>
        <w:t xml:space="preserve">d’un poste de travail et identifier la </w:t>
      </w:r>
      <w:r w:rsidRPr="00F057E3">
        <w:rPr>
          <w:b/>
        </w:rPr>
        <w:t>partie réseau</w:t>
      </w:r>
      <w:r>
        <w:t xml:space="preserve"> de celle-ci. On utilisera la commande </w:t>
      </w:r>
      <w:r w:rsidRPr="007D35E1">
        <w:rPr>
          <w:b/>
        </w:rPr>
        <w:t>ipconfig</w:t>
      </w:r>
      <w:r>
        <w:t xml:space="preserve"> sous </w:t>
      </w:r>
      <w:r w:rsidRPr="007D35E1">
        <w:rPr>
          <w:b/>
        </w:rPr>
        <w:t>Windows</w:t>
      </w:r>
      <w:r>
        <w:t xml:space="preserve"> ou </w:t>
      </w:r>
      <w:r w:rsidRPr="007D35E1">
        <w:rPr>
          <w:b/>
        </w:rPr>
        <w:t>ifconfig</w:t>
      </w:r>
      <w:r>
        <w:t xml:space="preserve"> sous </w:t>
      </w:r>
      <w:r w:rsidRPr="007D35E1">
        <w:rPr>
          <w:b/>
        </w:rPr>
        <w:t>Linux</w:t>
      </w:r>
      <w:r>
        <w:t>.</w:t>
      </w:r>
    </w:p>
    <w:p w:rsidR="00F057E3" w:rsidRDefault="00F057E3" w:rsidP="00F057E3"/>
    <w:p w:rsidR="00F057E3" w:rsidRDefault="00E91882" w:rsidP="00F057E3">
      <w:pPr>
        <w:pStyle w:val="Paragraphedeliste"/>
        <w:numPr>
          <w:ilvl w:val="0"/>
          <w:numId w:val="2"/>
        </w:numPr>
      </w:pPr>
      <w:r>
        <w:t xml:space="preserve">Visualiser le </w:t>
      </w:r>
      <w:r w:rsidRPr="00E91882">
        <w:rPr>
          <w:b/>
        </w:rPr>
        <w:t>cache ARP</w:t>
      </w:r>
      <w:r>
        <w:t xml:space="preserve"> </w:t>
      </w:r>
      <w:r w:rsidR="00F057E3">
        <w:t>d’un poste de travail</w:t>
      </w:r>
      <w:r>
        <w:t xml:space="preserve"> avant et après le contact d’un autre poste de travail à l’aide de la commande </w:t>
      </w:r>
      <w:r w:rsidRPr="00E91882">
        <w:rPr>
          <w:b/>
        </w:rPr>
        <w:t>ping</w:t>
      </w:r>
      <w:r>
        <w:t xml:space="preserve">. Le </w:t>
      </w:r>
      <w:r w:rsidRPr="000E2EA3">
        <w:rPr>
          <w:b/>
        </w:rPr>
        <w:t>cache ARP</w:t>
      </w:r>
      <w:r>
        <w:t xml:space="preserve"> sera visualisé à l’aide de</w:t>
      </w:r>
      <w:r w:rsidR="00F057E3">
        <w:t xml:space="preserve"> la commande </w:t>
      </w:r>
      <w:r w:rsidRPr="00E91882">
        <w:rPr>
          <w:b/>
        </w:rPr>
        <w:t>arp</w:t>
      </w:r>
      <w:r w:rsidR="00F057E3">
        <w:t>.</w:t>
      </w:r>
    </w:p>
    <w:p w:rsidR="00F057E3" w:rsidRDefault="00F057E3" w:rsidP="00F057E3"/>
    <w:sectPr w:rsidR="00F057E3" w:rsidSect="008C3D7F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32" w:rsidRDefault="00830D32" w:rsidP="008C3D7F">
      <w:r>
        <w:separator/>
      </w:r>
    </w:p>
  </w:endnote>
  <w:endnote w:type="continuationSeparator" w:id="1">
    <w:p w:rsidR="00830D32" w:rsidRDefault="00830D32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05477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T.C.-3.2.4_</w:t>
    </w:r>
    <w:r w:rsidR="006613C4">
      <w:t>5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CB0AED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CB0AED" w:rsidRPr="00AD44D3">
      <w:rPr>
        <w:rFonts w:cs="Arial"/>
      </w:rPr>
      <w:fldChar w:fldCharType="separate"/>
    </w:r>
    <w:r w:rsidR="00D81DEC">
      <w:rPr>
        <w:rFonts w:cs="Arial"/>
        <w:noProof/>
      </w:rPr>
      <w:t>3</w:t>
    </w:r>
    <w:r w:rsidR="00CB0AED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32" w:rsidRDefault="00830D32" w:rsidP="008C3D7F">
      <w:r>
        <w:separator/>
      </w:r>
    </w:p>
  </w:footnote>
  <w:footnote w:type="continuationSeparator" w:id="1">
    <w:p w:rsidR="00830D32" w:rsidRDefault="00830D32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592851648D3246ACB0E080572D62D5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Tronc Commun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362"/>
    <w:multiLevelType w:val="hybridMultilevel"/>
    <w:tmpl w:val="C6CE5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11F6B"/>
    <w:multiLevelType w:val="hybridMultilevel"/>
    <w:tmpl w:val="B56ED0AA"/>
    <w:lvl w:ilvl="0" w:tplc="1CA4340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866F4"/>
    <w:multiLevelType w:val="hybridMultilevel"/>
    <w:tmpl w:val="CF50A7A8"/>
    <w:lvl w:ilvl="0" w:tplc="48DA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32EDE"/>
    <w:multiLevelType w:val="multilevel"/>
    <w:tmpl w:val="83B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F70"/>
    <w:rsid w:val="00054770"/>
    <w:rsid w:val="00087247"/>
    <w:rsid w:val="000E2EA3"/>
    <w:rsid w:val="000F2209"/>
    <w:rsid w:val="00122DC3"/>
    <w:rsid w:val="001C59F7"/>
    <w:rsid w:val="001D68FF"/>
    <w:rsid w:val="002303B3"/>
    <w:rsid w:val="00264187"/>
    <w:rsid w:val="002748E0"/>
    <w:rsid w:val="00281D84"/>
    <w:rsid w:val="002A57E8"/>
    <w:rsid w:val="002D10EC"/>
    <w:rsid w:val="002E3B5E"/>
    <w:rsid w:val="002F6279"/>
    <w:rsid w:val="0030502E"/>
    <w:rsid w:val="003451E1"/>
    <w:rsid w:val="0036080F"/>
    <w:rsid w:val="003F074B"/>
    <w:rsid w:val="00406F9C"/>
    <w:rsid w:val="004254C1"/>
    <w:rsid w:val="00477312"/>
    <w:rsid w:val="0049013D"/>
    <w:rsid w:val="004A0D60"/>
    <w:rsid w:val="004A7DBE"/>
    <w:rsid w:val="004E5FB4"/>
    <w:rsid w:val="00512B7F"/>
    <w:rsid w:val="005229D4"/>
    <w:rsid w:val="00525A22"/>
    <w:rsid w:val="00550D8C"/>
    <w:rsid w:val="005532E7"/>
    <w:rsid w:val="0056412F"/>
    <w:rsid w:val="005F6D16"/>
    <w:rsid w:val="00620B13"/>
    <w:rsid w:val="00642DC4"/>
    <w:rsid w:val="006613C4"/>
    <w:rsid w:val="00691755"/>
    <w:rsid w:val="006A37D5"/>
    <w:rsid w:val="00761A98"/>
    <w:rsid w:val="00772F70"/>
    <w:rsid w:val="007A1361"/>
    <w:rsid w:val="007D35E1"/>
    <w:rsid w:val="007D46E2"/>
    <w:rsid w:val="007F7F53"/>
    <w:rsid w:val="00802A61"/>
    <w:rsid w:val="00803872"/>
    <w:rsid w:val="00813A15"/>
    <w:rsid w:val="00820637"/>
    <w:rsid w:val="00830D32"/>
    <w:rsid w:val="0083366E"/>
    <w:rsid w:val="00850396"/>
    <w:rsid w:val="008B436E"/>
    <w:rsid w:val="008C0419"/>
    <w:rsid w:val="008C3D7F"/>
    <w:rsid w:val="008D2139"/>
    <w:rsid w:val="00911CFE"/>
    <w:rsid w:val="00976805"/>
    <w:rsid w:val="00991B86"/>
    <w:rsid w:val="00AB3B32"/>
    <w:rsid w:val="00AC768A"/>
    <w:rsid w:val="00AD44D3"/>
    <w:rsid w:val="00B0095C"/>
    <w:rsid w:val="00B5767B"/>
    <w:rsid w:val="00B62007"/>
    <w:rsid w:val="00B62E1D"/>
    <w:rsid w:val="00B81A4A"/>
    <w:rsid w:val="00BC6175"/>
    <w:rsid w:val="00BE3E5C"/>
    <w:rsid w:val="00C0167E"/>
    <w:rsid w:val="00C74E9B"/>
    <w:rsid w:val="00CA3905"/>
    <w:rsid w:val="00CB0AED"/>
    <w:rsid w:val="00D30092"/>
    <w:rsid w:val="00D61259"/>
    <w:rsid w:val="00D64037"/>
    <w:rsid w:val="00D81DEC"/>
    <w:rsid w:val="00D87CBE"/>
    <w:rsid w:val="00DD2F7D"/>
    <w:rsid w:val="00E07143"/>
    <w:rsid w:val="00E37305"/>
    <w:rsid w:val="00E50D64"/>
    <w:rsid w:val="00E728AB"/>
    <w:rsid w:val="00E904CA"/>
    <w:rsid w:val="00E91882"/>
    <w:rsid w:val="00EA24B9"/>
    <w:rsid w:val="00EE66AF"/>
    <w:rsid w:val="00F057E3"/>
    <w:rsid w:val="00F22F8F"/>
    <w:rsid w:val="00F2697B"/>
    <w:rsid w:val="00F7162F"/>
    <w:rsid w:val="00F769FF"/>
    <w:rsid w:val="00FD18BD"/>
    <w:rsid w:val="00F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2F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48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2007"/>
    <w:pPr>
      <w:spacing w:before="100" w:beforeAutospacing="1" w:after="119"/>
      <w:jc w:val="left"/>
    </w:pPr>
    <w:rPr>
      <w:rFonts w:ascii="Times New Roman" w:eastAsia="Times New Roman" w:hAnsi="Times New Roman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C.-3.2.4_4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T.C.-3.2.4_4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2851648D3246ACB0E080572D62D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990EF-4F25-40D3-9CF8-FE827223B794}"/>
      </w:docPartPr>
      <w:docPartBody>
        <w:p w:rsidR="00461545" w:rsidRDefault="0037555B">
          <w:pPr>
            <w:pStyle w:val="592851648D3246ACB0E080572D62D5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555B"/>
    <w:rsid w:val="000C7045"/>
    <w:rsid w:val="001E252F"/>
    <w:rsid w:val="0037555B"/>
    <w:rsid w:val="00461545"/>
    <w:rsid w:val="007F31B9"/>
    <w:rsid w:val="00EC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92851648D3246ACB0E080572D62D5F5">
    <w:name w:val="592851648D3246ACB0E080572D62D5F5"/>
    <w:rsid w:val="004615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52E1-43AE-4EAC-9622-03508DD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139</TotalTime>
  <Pages>3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jcabianca</cp:lastModifiedBy>
  <cp:revision>60</cp:revision>
  <dcterms:created xsi:type="dcterms:W3CDTF">2011-09-08T19:05:00Z</dcterms:created>
  <dcterms:modified xsi:type="dcterms:W3CDTF">2011-11-03T22:59:00Z</dcterms:modified>
</cp:coreProperties>
</file>